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2748F7">
      <w:pPr>
        <w:widowControl/>
        <w:pBdr>
          <w:bottom w:val="dashed" w:color="EBEBEB" w:sz="6" w:space="23"/>
        </w:pBdr>
        <w:shd w:val="clear" w:color="auto" w:fill="FFFFFF"/>
        <w:spacing w:line="560" w:lineRule="exact"/>
        <w:jc w:val="center"/>
        <w:outlineLvl w:val="0"/>
        <w:rPr>
          <w:rFonts w:ascii="方正小标宋_GBK" w:hAnsi="微软雅黑" w:eastAsia="方正小标宋_GBK" w:cs="宋体"/>
          <w:color w:val="000000"/>
          <w:kern w:val="36"/>
          <w:sz w:val="44"/>
          <w:szCs w:val="44"/>
        </w:rPr>
      </w:pPr>
      <w:bookmarkStart w:id="0" w:name="_GoBack"/>
      <w:r>
        <w:rPr>
          <w:rFonts w:hint="eastAsia" w:ascii="方正小标宋_GBK" w:hAnsi="微软雅黑" w:eastAsia="方正小标宋_GBK" w:cs="宋体"/>
          <w:color w:val="000000"/>
          <w:kern w:val="36"/>
          <w:sz w:val="44"/>
          <w:szCs w:val="44"/>
        </w:rPr>
        <w:t>若羌县交通运输局行政执法主体公示</w:t>
      </w:r>
      <w:bookmarkEnd w:id="0"/>
    </w:p>
    <w:tbl>
      <w:tblPr>
        <w:tblStyle w:val="2"/>
        <w:tblW w:w="0" w:type="auto"/>
        <w:tblInd w:w="116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099"/>
        <w:gridCol w:w="6071"/>
      </w:tblGrid>
      <w:tr w14:paraId="3E128E9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20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C2719E0"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主 体 名 称</w:t>
            </w:r>
          </w:p>
        </w:tc>
        <w:tc>
          <w:tcPr>
            <w:tcW w:w="607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31880D0">
            <w:pPr>
              <w:widowControl/>
              <w:spacing w:line="400" w:lineRule="exact"/>
              <w:jc w:val="lef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若羌县交通运输局</w:t>
            </w:r>
          </w:p>
        </w:tc>
      </w:tr>
      <w:tr w14:paraId="6251D78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209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8F6222E"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主 体 类 别</w:t>
            </w:r>
          </w:p>
        </w:tc>
        <w:tc>
          <w:tcPr>
            <w:tcW w:w="60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58A364C">
            <w:pPr>
              <w:widowControl/>
              <w:spacing w:line="400" w:lineRule="exact"/>
              <w:jc w:val="lef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法律法规授权行使执法权的组织</w:t>
            </w:r>
          </w:p>
        </w:tc>
      </w:tr>
      <w:tr w14:paraId="4D81126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209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8C7232C"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单 位 性 质</w:t>
            </w:r>
          </w:p>
        </w:tc>
        <w:tc>
          <w:tcPr>
            <w:tcW w:w="60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A9D3EDB">
            <w:pPr>
              <w:widowControl/>
              <w:spacing w:line="400" w:lineRule="exact"/>
              <w:jc w:val="lef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行政机关</w:t>
            </w:r>
          </w:p>
        </w:tc>
      </w:tr>
      <w:tr w14:paraId="71F32E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9" w:hRule="atLeast"/>
        </w:trPr>
        <w:tc>
          <w:tcPr>
            <w:tcW w:w="209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BAADD44"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执法情况</w:t>
            </w:r>
          </w:p>
        </w:tc>
        <w:tc>
          <w:tcPr>
            <w:tcW w:w="60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4F7653A">
            <w:pPr>
              <w:widowControl/>
              <w:spacing w:line="400" w:lineRule="exac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以若羌县交通运输局的名义履行法定执法职能</w:t>
            </w:r>
          </w:p>
        </w:tc>
      </w:tr>
      <w:tr w14:paraId="1F550B3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209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9544215"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联 系 方 式</w:t>
            </w:r>
          </w:p>
        </w:tc>
        <w:tc>
          <w:tcPr>
            <w:tcW w:w="60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077CF35">
            <w:pPr>
              <w:widowControl/>
              <w:spacing w:line="400" w:lineRule="exact"/>
              <w:jc w:val="lef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0996-7103786</w:t>
            </w:r>
          </w:p>
        </w:tc>
      </w:tr>
      <w:tr w14:paraId="284BC5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4" w:hRule="atLeast"/>
        </w:trPr>
        <w:tc>
          <w:tcPr>
            <w:tcW w:w="209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C9BB9C3"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办 公 地 址</w:t>
            </w:r>
          </w:p>
        </w:tc>
        <w:tc>
          <w:tcPr>
            <w:tcW w:w="60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D322896">
            <w:pPr>
              <w:widowControl/>
              <w:spacing w:line="400" w:lineRule="exac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若羌县人民政府东侧（原行政服务中心三楼）</w:t>
            </w:r>
          </w:p>
        </w:tc>
      </w:tr>
      <w:tr w14:paraId="2D0252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9" w:hRule="atLeast"/>
        </w:trPr>
        <w:tc>
          <w:tcPr>
            <w:tcW w:w="209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DE6A1DD"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执 法 职 能</w:t>
            </w:r>
          </w:p>
        </w:tc>
        <w:tc>
          <w:tcPr>
            <w:tcW w:w="60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3DC8DDB">
            <w:pPr>
              <w:widowControl/>
              <w:spacing w:line="400" w:lineRule="exac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1、</w:t>
            </w:r>
            <w:r>
              <w:rPr>
                <w:rFonts w:ascii="Times New Roman" w:hAnsi="Times New Roman" w:eastAsia="方正仿宋_GBK" w:cs="Times New Roman"/>
                <w:b/>
                <w:bCs/>
                <w:kern w:val="0"/>
                <w:sz w:val="31"/>
                <w:szCs w:val="31"/>
              </w:rPr>
              <w:t>行政处罚</w:t>
            </w: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：负责行使辖区内道路运政、机动车驾驶员培训、农村公路建设、路政、内河航道、内河海事行政、交通运输行业项目招标投标的行政处罚。</w:t>
            </w:r>
          </w:p>
          <w:p w14:paraId="0F3AB3B3">
            <w:pPr>
              <w:widowControl/>
              <w:spacing w:line="400" w:lineRule="exac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2、</w:t>
            </w:r>
            <w:r>
              <w:rPr>
                <w:rFonts w:ascii="Times New Roman" w:hAnsi="Times New Roman" w:eastAsia="方正仿宋_GBK" w:cs="Times New Roman"/>
                <w:b/>
                <w:bCs/>
                <w:kern w:val="0"/>
                <w:sz w:val="31"/>
                <w:szCs w:val="31"/>
              </w:rPr>
              <w:t>行政强制</w:t>
            </w: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：与行政处罚职能相关的行政强制，包括暂扣车辆、中止车辆运行、查封、强制卸载、代履行等。</w:t>
            </w:r>
          </w:p>
          <w:p w14:paraId="5A0C82C9">
            <w:pPr>
              <w:widowControl/>
              <w:spacing w:line="400" w:lineRule="exac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3、</w:t>
            </w:r>
            <w:r>
              <w:rPr>
                <w:rFonts w:ascii="Times New Roman" w:hAnsi="Times New Roman" w:eastAsia="方正仿宋_GBK" w:cs="Times New Roman"/>
                <w:b/>
                <w:bCs/>
                <w:kern w:val="0"/>
                <w:sz w:val="31"/>
                <w:szCs w:val="31"/>
              </w:rPr>
              <w:t>行政检查</w:t>
            </w: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：与行政处罚职能相关的行政检查，包括源头检查和现场巡查。</w:t>
            </w:r>
          </w:p>
        </w:tc>
      </w:tr>
      <w:tr w14:paraId="064A6E4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209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D11BDCB">
            <w:pPr>
              <w:widowControl/>
              <w:spacing w:line="400" w:lineRule="exact"/>
              <w:jc w:val="center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备注</w:t>
            </w:r>
          </w:p>
        </w:tc>
        <w:tc>
          <w:tcPr>
            <w:tcW w:w="607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CAAFA20">
            <w:pPr>
              <w:widowControl/>
              <w:spacing w:line="400" w:lineRule="exact"/>
              <w:jc w:val="left"/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</w:pPr>
            <w:r>
              <w:rPr>
                <w:rFonts w:ascii="Times New Roman" w:hAnsi="Times New Roman" w:eastAsia="方正仿宋_GBK" w:cs="Times New Roman"/>
                <w:kern w:val="0"/>
                <w:sz w:val="31"/>
                <w:szCs w:val="31"/>
              </w:rPr>
              <w:t> </w:t>
            </w:r>
          </w:p>
        </w:tc>
      </w:tr>
    </w:tbl>
    <w:p w14:paraId="28723696">
      <w:pPr>
        <w:widowControl/>
        <w:shd w:val="clear" w:color="auto" w:fill="FFFFFF"/>
        <w:spacing w:line="560" w:lineRule="exact"/>
        <w:ind w:firstLine="622" w:firstLineChars="200"/>
        <w:rPr>
          <w:rFonts w:ascii="方正仿宋_GBK" w:hAnsi="微软雅黑" w:eastAsia="方正仿宋_GBK" w:cs="宋体"/>
          <w:b/>
          <w:bCs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b/>
          <w:bCs/>
          <w:color w:val="000000"/>
          <w:kern w:val="0"/>
          <w:sz w:val="31"/>
          <w:szCs w:val="31"/>
        </w:rPr>
        <w:t>二、行政执法主要职责</w:t>
      </w:r>
    </w:p>
    <w:p w14:paraId="00526E5F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b/>
          <w:bCs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(一)贯彻执行国家、自治区、自治州有关交通运输工作的方针、政策和法律法规。</w:t>
      </w:r>
    </w:p>
    <w:p w14:paraId="2690EC35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(二)负责职责范围内的道路运输经营、地方海事、渔业船舶检测等方面的行政执法工作。</w:t>
      </w:r>
    </w:p>
    <w:p w14:paraId="747C53C1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(三)负责职责范围内公民、法人或其他组织遵守交通行政管理法律、法规、规章的情况进行监督检查，受理投诉举报。依法纠正和查处违法违规行为。</w:t>
      </w:r>
    </w:p>
    <w:p w14:paraId="20ABE685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(四)统筹组织。指挥协调全县交通运输行业的专项整治；负责组织查处上级交办的具有重大影响的复杂案件。</w:t>
      </w:r>
    </w:p>
    <w:p w14:paraId="7DB73D0D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(五)负责交通运输行业安全生产执法工作；参与交通运输安全事故调查和应急处置工作；参与保障国家重点物资道路运输、紧急客货运输、军事和强县就在物资等运输有关工作。</w:t>
      </w:r>
    </w:p>
    <w:p w14:paraId="79AE1986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六)宣传贯彻执行有关公路工程质量监督法律、法规、规章及相关政策；负责工程质量事故调查取证和分析、工程质量鉴定，参与听证、行政复议及诉讼；负责公路工程安全生产行业执法行政处罚工作；参与公路工程安全生产事故调查取证和分析；参与公路工程安全生产鉴定工作；参与公路工程试验检测鉴定工作。</w:t>
      </w:r>
    </w:p>
    <w:p w14:paraId="271628FC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(七)承担交通运输行政执法队伍教育培训、考核、监督和行风建设工作；指导全县交通运输综合行政执法工作。</w:t>
      </w:r>
    </w:p>
    <w:p w14:paraId="182F1667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(八)依法履行法律法规赋予的其他职责。</w:t>
      </w:r>
    </w:p>
    <w:p w14:paraId="5CDC005E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(九)</w:t>
      </w:r>
      <w:r>
        <w:rPr>
          <w:rFonts w:hint="eastAsia"/>
        </w:rPr>
        <w:t xml:space="preserve"> </w:t>
      </w: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完成县委、县政府交办的其他任务。</w:t>
      </w:r>
    </w:p>
    <w:p w14:paraId="7F070005">
      <w:pPr>
        <w:widowControl/>
        <w:shd w:val="clear" w:color="auto" w:fill="FFFFFF"/>
        <w:spacing w:line="560" w:lineRule="exact"/>
        <w:ind w:firstLine="620" w:firstLineChars="200"/>
        <w:rPr>
          <w:rFonts w:ascii="方正黑体_GBK" w:hAnsi="微软雅黑" w:eastAsia="方正黑体_GBK" w:cs="宋体"/>
          <w:color w:val="000000"/>
          <w:kern w:val="0"/>
          <w:sz w:val="31"/>
          <w:szCs w:val="31"/>
        </w:rPr>
      </w:pPr>
      <w:r>
        <w:rPr>
          <w:rFonts w:hint="eastAsia" w:ascii="方正黑体_GBK" w:hAnsi="微软雅黑" w:eastAsia="方正黑体_GBK" w:cs="宋体"/>
          <w:color w:val="000000"/>
          <w:kern w:val="0"/>
          <w:sz w:val="31"/>
          <w:szCs w:val="31"/>
        </w:rPr>
        <w:t>三、行政执法主要依据</w:t>
      </w:r>
    </w:p>
    <w:p w14:paraId="49E5AC2F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华文楷体" w:hAnsi="华文楷体" w:eastAsia="华文楷体" w:cs="宋体"/>
          <w:color w:val="000000"/>
          <w:kern w:val="0"/>
          <w:sz w:val="31"/>
          <w:szCs w:val="31"/>
        </w:rPr>
        <w:t>1、法律：</w:t>
      </w: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《中华人民共和国公路法》、《中华人民共和国行政许可法》《中华人民共和国行政处罚法》、《中华人民共和国行政强制法》《中华人民共和国招标投标法》《中华人民共和国安全生产法》、《中华人民共和国道路交通安全法》</w:t>
      </w:r>
    </w:p>
    <w:p w14:paraId="17F407A7">
      <w:pPr>
        <w:widowControl/>
        <w:shd w:val="clear" w:color="auto" w:fill="FFFFFF"/>
        <w:spacing w:line="560" w:lineRule="exact"/>
        <w:ind w:firstLine="620" w:firstLineChars="200"/>
        <w:rPr>
          <w:rFonts w:ascii="方正仿宋_GBK" w:hAnsi="微软雅黑" w:eastAsia="方正仿宋_GBK" w:cs="宋体"/>
          <w:color w:val="000000"/>
          <w:kern w:val="0"/>
          <w:sz w:val="31"/>
          <w:szCs w:val="31"/>
        </w:rPr>
      </w:pPr>
      <w:r>
        <w:rPr>
          <w:rFonts w:hint="eastAsia" w:ascii="华文楷体" w:hAnsi="华文楷体" w:eastAsia="华文楷体" w:cs="宋体"/>
          <w:color w:val="000000"/>
          <w:kern w:val="0"/>
          <w:sz w:val="31"/>
          <w:szCs w:val="31"/>
        </w:rPr>
        <w:t>2、行政法规：</w:t>
      </w:r>
      <w:r>
        <w:rPr>
          <w:rFonts w:hint="eastAsia" w:ascii="方正仿宋_GBK" w:hAnsi="微软雅黑" w:eastAsia="方正仿宋_GBK" w:cs="宋体"/>
          <w:color w:val="000000"/>
          <w:kern w:val="0"/>
          <w:sz w:val="31"/>
          <w:szCs w:val="31"/>
        </w:rPr>
        <w:t>《中华人民共和国道路运输条例》《中华人民共和国内河交通安全管理条例》、《中华人民共和国招标投标法实施条例》、《新疆维吾尔自治区道路运输条例》、《新疆维吾尔自治区公路建设工程质量监督管理条例》、《新疆维吾尔自治区货物运输车辆超限超载治理办法》 、《公路安全保护条例》、《公路建设市场管理办法》、《公路工程建设项目招标投标管理办法》、《建设工程勘察设计管理条例》、《建设工程质量管理条例》、《公路水运工程质量监督管理规定》、《公路工程竣（交）工验收办法》《建设工程安全生产管理条例》、《道路运输从业人员管理规定》、《道路运输车辆技术管理规定》、《道路旅客运输及客运站管理规定》、《道路货物运输及站场管理规定》、《道路危险货物运输管理规定》《危险化学品安全管理条例》、《放射性物品道路运输管理规定》、《危险货物道路运输安全管理办法》、《机动车驾驶员培训管理规定》、《机动车驾驶员培训管理规定》、《巡游出租汽车经营服务管理规定》 《出租汽车驾驶员从业资格管理规定》、《道路运输车辆动态监督管理办法》、《超限运输车辆行驶公路管理规定》等相关法律法规规章。</w:t>
      </w:r>
    </w:p>
    <w:p w14:paraId="11D57981">
      <w:pPr>
        <w:widowControl/>
        <w:shd w:val="clear" w:color="auto" w:fill="FFFFFF"/>
        <w:spacing w:line="560" w:lineRule="exact"/>
        <w:ind w:firstLine="620" w:firstLineChars="200"/>
        <w:rPr>
          <w:rFonts w:ascii="方正黑体_GBK" w:hAnsi="微软雅黑" w:eastAsia="方正黑体_GBK" w:cs="宋体"/>
          <w:color w:val="000000"/>
          <w:kern w:val="0"/>
          <w:sz w:val="31"/>
          <w:szCs w:val="31"/>
        </w:rPr>
      </w:pPr>
      <w:r>
        <w:rPr>
          <w:rFonts w:hint="eastAsia" w:ascii="方正黑体_GBK" w:hAnsi="宋体" w:eastAsia="方正黑体_GBK" w:cs="宋体"/>
          <w:color w:val="000000"/>
          <w:kern w:val="0"/>
          <w:sz w:val="31"/>
          <w:szCs w:val="31"/>
        </w:rPr>
        <w:t>四、行政执法程序</w:t>
      </w:r>
    </w:p>
    <w:p w14:paraId="45A30BA6">
      <w:pPr>
        <w:widowControl/>
        <w:shd w:val="clear" w:color="auto" w:fill="FFFFFF"/>
        <w:spacing w:line="560" w:lineRule="exact"/>
        <w:ind w:firstLine="620" w:firstLineChars="200"/>
        <w:rPr>
          <w:rFonts w:ascii="华文楷体" w:hAnsi="华文楷体" w:eastAsia="华文楷体" w:cs="宋体"/>
          <w:color w:val="000000"/>
          <w:kern w:val="0"/>
          <w:sz w:val="31"/>
          <w:szCs w:val="31"/>
        </w:rPr>
      </w:pPr>
      <w:r>
        <w:rPr>
          <w:rFonts w:hint="eastAsia" w:ascii="华文楷体" w:hAnsi="华文楷体" w:eastAsia="华文楷体" w:cs="宋体"/>
          <w:color w:val="000000"/>
          <w:kern w:val="0"/>
          <w:sz w:val="31"/>
          <w:szCs w:val="31"/>
        </w:rPr>
        <w:t>(1）行政检查</w:t>
      </w:r>
    </w:p>
    <w:p w14:paraId="56B1F41E">
      <w:pPr>
        <w:widowControl/>
        <w:shd w:val="clear" w:color="auto" w:fill="FFFFFF"/>
        <w:spacing w:line="450" w:lineRule="atLeast"/>
        <w:rPr>
          <w:rFonts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ascii="微软雅黑" w:hAnsi="微软雅黑" w:eastAsia="微软雅黑" w:cs="宋体"/>
          <w:color w:val="000000"/>
          <w:kern w:val="0"/>
          <w:sz w:val="24"/>
          <w:szCs w:val="24"/>
        </w:rPr>
        <w:drawing>
          <wp:inline distT="0" distB="0" distL="0" distR="0">
            <wp:extent cx="5596890" cy="7208520"/>
            <wp:effectExtent l="0" t="0" r="381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08661" cy="7223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宋体"/>
          <w:b/>
          <w:bCs/>
          <w:color w:val="000000"/>
          <w:kern w:val="0"/>
          <w:sz w:val="24"/>
          <w:szCs w:val="24"/>
        </w:rPr>
        <w:t> </w:t>
      </w:r>
    </w:p>
    <w:p w14:paraId="60ECFD07">
      <w:pPr>
        <w:widowControl/>
        <w:shd w:val="clear" w:color="auto" w:fill="FFFFFF"/>
        <w:spacing w:line="450" w:lineRule="atLeast"/>
        <w:ind w:firstLine="420"/>
        <w:rPr>
          <w:rFonts w:ascii="华文楷体" w:hAnsi="华文楷体" w:eastAsia="华文楷体" w:cs="宋体"/>
          <w:color w:val="000000"/>
          <w:kern w:val="0"/>
          <w:sz w:val="31"/>
          <w:szCs w:val="31"/>
        </w:rPr>
      </w:pPr>
      <w:r>
        <w:rPr>
          <w:rFonts w:hint="eastAsia" w:ascii="华文楷体" w:hAnsi="华文楷体" w:eastAsia="华文楷体" w:cs="宋体"/>
          <w:color w:val="000000"/>
          <w:kern w:val="0"/>
          <w:sz w:val="31"/>
          <w:szCs w:val="31"/>
        </w:rPr>
        <w:t>（2）行政处罚</w:t>
      </w:r>
    </w:p>
    <w:p w14:paraId="53BA4DAD">
      <w:pPr>
        <w:widowControl/>
        <w:shd w:val="clear" w:color="auto" w:fill="FFFFFF"/>
        <w:spacing w:line="450" w:lineRule="atLeast"/>
        <w:rPr>
          <w:rFonts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ascii="微软雅黑" w:hAnsi="微软雅黑" w:eastAsia="微软雅黑" w:cs="宋体"/>
          <w:color w:val="000000"/>
          <w:kern w:val="0"/>
          <w:sz w:val="24"/>
          <w:szCs w:val="24"/>
        </w:rPr>
        <w:drawing>
          <wp:inline distT="0" distB="0" distL="0" distR="0">
            <wp:extent cx="5358130" cy="7616825"/>
            <wp:effectExtent l="0" t="0" r="0" b="3175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69713" cy="7633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 </w:t>
      </w:r>
    </w:p>
    <w:p w14:paraId="2D42D352">
      <w:pPr>
        <w:widowControl/>
        <w:shd w:val="clear" w:color="auto" w:fill="FFFFFF"/>
        <w:spacing w:line="450" w:lineRule="atLeast"/>
        <w:ind w:firstLine="420"/>
        <w:rPr>
          <w:rFonts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</w:rPr>
        <w:t>（</w:t>
      </w:r>
      <w:r>
        <w:rPr>
          <w:rFonts w:hint="eastAsia" w:ascii="微软雅黑" w:hAnsi="微软雅黑" w:eastAsia="微软雅黑" w:cs="宋体"/>
          <w:b/>
          <w:bCs/>
          <w:color w:val="000000"/>
          <w:kern w:val="0"/>
          <w:sz w:val="24"/>
          <w:szCs w:val="24"/>
        </w:rPr>
        <w:t>3）行政强制</w:t>
      </w:r>
    </w:p>
    <w:p w14:paraId="224FDB77">
      <w:pPr>
        <w:widowControl/>
        <w:shd w:val="clear" w:color="auto" w:fill="FFFFFF"/>
        <w:spacing w:line="450" w:lineRule="atLeast"/>
        <w:rPr>
          <w:rFonts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ascii="微软雅黑" w:hAnsi="微软雅黑" w:eastAsia="微软雅黑" w:cs="宋体"/>
          <w:color w:val="000000"/>
          <w:kern w:val="0"/>
          <w:sz w:val="24"/>
          <w:szCs w:val="24"/>
        </w:rPr>
        <w:drawing>
          <wp:inline distT="0" distB="0" distL="0" distR="0">
            <wp:extent cx="5573395" cy="7593330"/>
            <wp:effectExtent l="0" t="0" r="8255" b="762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07483" cy="763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宋体"/>
          <w:b/>
          <w:bCs/>
          <w:color w:val="000000"/>
          <w:kern w:val="0"/>
          <w:sz w:val="24"/>
          <w:szCs w:val="24"/>
        </w:rPr>
        <w:t> </w:t>
      </w: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楷体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BBE"/>
    <w:rsid w:val="000106F9"/>
    <w:rsid w:val="000950AB"/>
    <w:rsid w:val="002D2847"/>
    <w:rsid w:val="0059563E"/>
    <w:rsid w:val="0099337F"/>
    <w:rsid w:val="00A24BBE"/>
    <w:rsid w:val="00A74AD2"/>
    <w:rsid w:val="00B26865"/>
    <w:rsid w:val="00BD21B6"/>
    <w:rsid w:val="00CE332F"/>
    <w:rsid w:val="00F77DA6"/>
    <w:rsid w:val="34361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1417</Words>
  <Characters>1429</Characters>
  <Lines>10</Lines>
  <Paragraphs>2</Paragraphs>
  <TotalTime>47</TotalTime>
  <ScaleCrop>false</ScaleCrop>
  <LinksUpToDate>false</LinksUpToDate>
  <CharactersWithSpaces>1432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2023-04-11T04:56:00Z</dcterms:created>
  <dc:creator>lzg</dc:creator>
  <cp:lastModifiedBy>Administrator</cp:lastModifiedBy>
  <dcterms:modified xsi:type="dcterms:W3CDTF">2024-10-28T10:26:34Z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99922DCB623F479AB2411C8E03E16FF4_13</vt:lpwstr>
  </property>
</Properties>
</file>