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left"/>
        <w:rPr>
          <w:rFonts w:hint="eastAsia" w:ascii="黑体" w:hAnsi="黑体" w:eastAsia="黑体"/>
          <w:color w:val="auto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附件1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：</w:t>
      </w:r>
    </w:p>
    <w:p>
      <w:pPr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农业机械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  <w:t>推荐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报废年限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  <w:t>标准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一览表</w:t>
      </w:r>
    </w:p>
    <w:tbl>
      <w:tblPr>
        <w:tblStyle w:val="8"/>
        <w:tblW w:w="81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0"/>
        <w:gridCol w:w="34"/>
        <w:gridCol w:w="3475"/>
        <w:gridCol w:w="2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  <w:jc w:val="center"/>
        </w:trPr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4"/>
              </w:rPr>
              <w:t>机型</w:t>
            </w:r>
          </w:p>
        </w:tc>
        <w:tc>
          <w:tcPr>
            <w:tcW w:w="350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4"/>
              </w:rPr>
              <w:t>类别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4"/>
              </w:rPr>
              <w:t>报废年限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9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轮式拖拉机</w:t>
            </w:r>
          </w:p>
        </w:tc>
        <w:tc>
          <w:tcPr>
            <w:tcW w:w="350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20马力以下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10年或累计作业超过1.2万小时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  <w:jc w:val="center"/>
        </w:trPr>
        <w:tc>
          <w:tcPr>
            <w:tcW w:w="189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350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20马力以上（含）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15年或累计作业超过1.8万小时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履带拖拉机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12年或累计作业超过1.5万小时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30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自走式联合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收割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机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12年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78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自走式采棉机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播种机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联合整地机、铧式犁、残膜回收机、秸秆粉碎还田机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78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农用北斗辅助驾驶系统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78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机动脱粒机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8年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机动植保机械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10年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31" w:hRule="atLeast"/>
          <w:jc w:val="center"/>
        </w:trPr>
        <w:tc>
          <w:tcPr>
            <w:tcW w:w="1924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水稻插秧机</w:t>
            </w:r>
          </w:p>
        </w:tc>
        <w:tc>
          <w:tcPr>
            <w:tcW w:w="347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手扶式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8年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924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347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乘坐式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10年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924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饲料粉碎机</w:t>
            </w:r>
          </w:p>
        </w:tc>
        <w:tc>
          <w:tcPr>
            <w:tcW w:w="347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18千瓦以下（含）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10年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924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347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18千瓦以上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12年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铡草机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10年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40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自走式青（黄）饲料收获机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12年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93" w:hRule="atLeast"/>
          <w:jc w:val="center"/>
        </w:trPr>
        <w:tc>
          <w:tcPr>
            <w:tcW w:w="539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自走式瓜果类收获机</w:t>
            </w:r>
          </w:p>
        </w:tc>
        <w:tc>
          <w:tcPr>
            <w:tcW w:w="279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12年</w:t>
            </w:r>
          </w:p>
        </w:tc>
      </w:tr>
    </w:tbl>
    <w:p>
      <w:pPr>
        <w:spacing w:before="120" w:beforeLines="50" w:line="360" w:lineRule="auto"/>
        <w:jc w:val="both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spacing w:before="120" w:beforeLines="50" w:line="360" w:lineRule="auto"/>
        <w:jc w:val="both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附件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0"/>
          <w:szCs w:val="40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0"/>
          <w:szCs w:val="40"/>
          <w:lang w:val="en-US" w:eastAsia="zh-CN"/>
        </w:rPr>
        <w:t>自治区农业机械报废更新补贴分档及补贴额一览表</w:t>
      </w:r>
    </w:p>
    <w:tbl>
      <w:tblPr>
        <w:tblStyle w:val="8"/>
        <w:tblW w:w="9672" w:type="dxa"/>
        <w:jc w:val="center"/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07"/>
        <w:gridCol w:w="2046"/>
        <w:gridCol w:w="3641"/>
        <w:gridCol w:w="1488"/>
        <w:gridCol w:w="1690"/>
      </w:tblGrid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9" w:hRule="atLeast"/>
          <w:jc w:val="center"/>
        </w:trPr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序号</w:t>
            </w:r>
          </w:p>
        </w:tc>
        <w:tc>
          <w:tcPr>
            <w:tcW w:w="20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机型</w:t>
            </w: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类别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报废补贴额（元）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lang w:val="en-US" w:eastAsia="zh-CN"/>
              </w:rPr>
              <w:t>报废并新购同种类机具，提高报废补贴额至（元）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09" w:hRule="atLeast"/>
          <w:jc w:val="center"/>
        </w:trPr>
        <w:tc>
          <w:tcPr>
            <w:tcW w:w="807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1</w:t>
            </w:r>
          </w:p>
        </w:tc>
        <w:tc>
          <w:tcPr>
            <w:tcW w:w="2046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拖拉机</w:t>
            </w: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20马力以下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1500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45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20（含）—50马力（含）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3850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0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50—80马力（含）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7860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8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80—100马力（含）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10840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35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100—160马力（含）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13140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10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160—200马力（含）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18000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92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200马力以上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20000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96" w:hRule="atLeast"/>
          <w:jc w:val="center"/>
        </w:trPr>
        <w:tc>
          <w:tcPr>
            <w:tcW w:w="80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2</w:t>
            </w:r>
          </w:p>
        </w:tc>
        <w:tc>
          <w:tcPr>
            <w:tcW w:w="2046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联合收割机</w:t>
            </w:r>
          </w:p>
        </w:tc>
        <w:tc>
          <w:tcPr>
            <w:tcW w:w="3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喂入量0.5—1kg/s（含）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自走式全喂入稻麦联合收割机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3000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4500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96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喂入量1—3kg/s（含）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自走式全喂入稻麦联合收割机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5500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8250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96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喂入量3—4kg/s(含）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自走式全喂入稻麦联合收割机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7300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10950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96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喂入量4kg/s以上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自走式全喂入稻麦联合收割机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11000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16500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96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3行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35马力（含）以上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自走式半喂入稻麦联合收割机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7200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10800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1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4行（含）以上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35马力（含）以上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自走式半喂入稻麦联合收割机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17500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26250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3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2行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自走式玉米联合收割机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7200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10800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3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3行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自走式玉米联合收割机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12500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18750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3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4行及以上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自走式玉米联合收割机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20000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30000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26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采棉机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30000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60000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47" w:hRule="atLeast"/>
          <w:jc w:val="center"/>
        </w:trPr>
        <w:tc>
          <w:tcPr>
            <w:tcW w:w="80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0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播种机</w:t>
            </w: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6行以下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600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900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14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6—11行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1200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1800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57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12—18行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1600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2400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58" w:hRule="atLeast"/>
          <w:jc w:val="center"/>
        </w:trPr>
        <w:tc>
          <w:tcPr>
            <w:tcW w:w="80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20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18行以上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2000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val="en-US" w:eastAsia="zh-CN"/>
              </w:rPr>
              <w:t>3000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3" w:hRule="atLeast"/>
          <w:jc w:val="center"/>
        </w:trPr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0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农用北斗辅助驾驶系统</w:t>
            </w:r>
          </w:p>
        </w:tc>
        <w:tc>
          <w:tcPr>
            <w:tcW w:w="36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—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800</w:t>
            </w: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</w:tr>
    </w:tbl>
    <w:p>
      <w:pPr>
        <w:jc w:val="left"/>
        <w:rPr>
          <w:rFonts w:hint="default" w:ascii="Times New Roman" w:hAnsi="Times New Roman" w:eastAsia="黑体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黑体" w:cs="Times New Roman"/>
          <w:color w:val="auto"/>
          <w:sz w:val="28"/>
          <w:szCs w:val="28"/>
        </w:rPr>
        <w:br w:type="page"/>
      </w:r>
    </w:p>
    <w:tbl>
      <w:tblPr>
        <w:tblStyle w:val="8"/>
        <w:tblW w:w="5520" w:type="pct"/>
        <w:jc w:val="center"/>
        <w:tblLayout w:type="autofit"/>
        <w:tblCellMar>
          <w:top w:w="0" w:type="dxa"/>
          <w:left w:w="57" w:type="dxa"/>
          <w:bottom w:w="0" w:type="dxa"/>
          <w:right w:w="57" w:type="dxa"/>
        </w:tblCellMar>
      </w:tblPr>
      <w:tblGrid>
        <w:gridCol w:w="912"/>
        <w:gridCol w:w="1989"/>
        <w:gridCol w:w="463"/>
        <w:gridCol w:w="2935"/>
        <w:gridCol w:w="1763"/>
        <w:gridCol w:w="1828"/>
      </w:tblGrid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43" w:hRule="atLeast"/>
          <w:jc w:val="center"/>
        </w:trPr>
        <w:tc>
          <w:tcPr>
            <w:tcW w:w="46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序号</w:t>
            </w:r>
          </w:p>
        </w:tc>
        <w:tc>
          <w:tcPr>
            <w:tcW w:w="1005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机型</w:t>
            </w: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lang w:val="en-US" w:eastAsia="zh-CN"/>
              </w:rPr>
              <w:t>类别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报废补贴额（元）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lang w:val="en-US" w:eastAsia="zh-CN"/>
              </w:rPr>
              <w:t>报废并新购同种类机具，提高报废补贴额至（元）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005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水稻插秧机</w:t>
            </w: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2行手扶步进式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740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1110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4行手扶步进式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1740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2610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6行及以上手扶步进式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2170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3255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6行及以上独轮乘坐式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1720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2580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4-5行四轮乘坐式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5400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8100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6—7行四轮乘坐式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9930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14895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8行及以上四轮乘坐式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12500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18750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005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机动喷雾（粉）机</w:t>
            </w: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18—50马力自走式喷杆喷雾机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四轮驱动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四轮转向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3000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50—100马力自走式喷杆喷雾机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四轮驱动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四轮转向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4500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100马力及以上自走式喷杆喷雾机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四轮驱动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四轮转向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6500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2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喷杆长度12-18m悬挂及牵引式喷杆式喷雾机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300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2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喷杆长度18m及以上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</w:rPr>
              <w:t>悬挂及牵引式喷杆式喷雾机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1300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2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牵引式或自走式风送式喷雾机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药箱容积≥300L,喷幅半径≥6m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2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自走式风送式喷雾机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药箱容积≥300L,喷幅≥20M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1500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24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005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机动脱粒机</w:t>
            </w: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脱粒滚筒长度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0-120cm,带清选及秸秆揉丝功能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稻麦脱粒机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800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2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脱粒滚筒长度120cm及以上,带清选及秸秆揉丝功能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稻麦脱粒机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1500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4" w:hRule="atLeast"/>
          <w:jc w:val="center"/>
        </w:trPr>
        <w:tc>
          <w:tcPr>
            <w:tcW w:w="46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1005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饲料（草）粉碎机</w:t>
            </w: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饲料（草）粉碎机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230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73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005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铡草机</w:t>
            </w: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生产率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1t（含）-9t/h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32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生产率9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t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 xml:space="preserve">（含）—20t/h 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500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4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1005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生产率20t/h及以上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12" w:hRule="atLeast"/>
          <w:jc w:val="center"/>
        </w:trPr>
        <w:tc>
          <w:tcPr>
            <w:tcW w:w="46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序号</w:t>
            </w:r>
          </w:p>
        </w:tc>
        <w:tc>
          <w:tcPr>
            <w:tcW w:w="1239" w:type="pct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机型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lang w:val="en-US" w:eastAsia="zh-CN"/>
              </w:rPr>
              <w:t>类别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  <w:t>报废补贴额（元）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lang w:val="en-US" w:eastAsia="zh-CN"/>
              </w:rPr>
              <w:t>报废并新购同种类机具，提高报废补贴额至（元）</w:t>
            </w: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1239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联合整地机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3.5-5.5m双轴联合整地机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3000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5.5m及以上双轴联合整地机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4800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11</w:t>
            </w:r>
          </w:p>
        </w:tc>
        <w:tc>
          <w:tcPr>
            <w:tcW w:w="1239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铧式犁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3-6铧翻转犁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1900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7铧及以上翻转犁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7200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24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12</w:t>
            </w:r>
          </w:p>
        </w:tc>
        <w:tc>
          <w:tcPr>
            <w:tcW w:w="1239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残膜回收机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幅宽2m以上残膜回收机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300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2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幅宽1.2m以上带残膜打包机构残膜回收机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6300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4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13</w:t>
            </w:r>
          </w:p>
        </w:tc>
        <w:tc>
          <w:tcPr>
            <w:tcW w:w="1239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秸秆粉碎还田机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1-1.5m秸秆粉碎还田机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300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1.5-2m秸秆粉碎还田机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550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2-2.5m秸秆粉碎还田机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650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4" w:hRule="atLeast"/>
          <w:jc w:val="center"/>
        </w:trPr>
        <w:tc>
          <w:tcPr>
            <w:tcW w:w="46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2.5m及以上秸秆粉碎还田机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800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9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14</w:t>
            </w:r>
          </w:p>
        </w:tc>
        <w:tc>
          <w:tcPr>
            <w:tcW w:w="1239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自走式青（黄）饲料收获机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2-2.6m自走圆盘式青饲料收获机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19000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46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 xml:space="preserve">2.6m及以上自走圆盘式青饲料收获机 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20000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2" w:hRule="atLeast"/>
          <w:jc w:val="center"/>
        </w:trPr>
        <w:tc>
          <w:tcPr>
            <w:tcW w:w="46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15</w:t>
            </w:r>
          </w:p>
        </w:tc>
        <w:tc>
          <w:tcPr>
            <w:tcW w:w="1239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自走式瓜果类收获机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自走式番茄联合收获机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生产率≥40t/h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割幅≥1.2m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20000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2" w:hRule="atLeast"/>
          <w:jc w:val="center"/>
        </w:trPr>
        <w:tc>
          <w:tcPr>
            <w:tcW w:w="46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2-3m自走辣椒联合收获机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20000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2" w:hRule="atLeast"/>
          <w:jc w:val="center"/>
        </w:trPr>
        <w:tc>
          <w:tcPr>
            <w:tcW w:w="46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1.5-2.0m自走式籽瓜捡拾脱粒联合作业机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15000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2" w:hRule="atLeast"/>
          <w:jc w:val="center"/>
        </w:trPr>
        <w:tc>
          <w:tcPr>
            <w:tcW w:w="46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</w:rPr>
            </w:pPr>
          </w:p>
        </w:tc>
        <w:tc>
          <w:tcPr>
            <w:tcW w:w="1239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</w:rPr>
              <w:t>2.0m及以上自走式籽瓜捡拾脱粒联合作业机</w:t>
            </w:r>
          </w:p>
        </w:tc>
        <w:tc>
          <w:tcPr>
            <w:tcW w:w="8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  <w:t>20000</w:t>
            </w:r>
          </w:p>
        </w:tc>
        <w:tc>
          <w:tcPr>
            <w:tcW w:w="9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Times New Roman" w:hAnsi="Times New Roman" w:eastAsia="仿宋_GB2312" w:cs="Times New Roman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jc w:val="left"/>
        <w:textAlignment w:val="auto"/>
        <w:rPr>
          <w:rFonts w:hint="default" w:ascii="Times New Roman" w:hAnsi="Times New Roman" w:eastAsia="方正仿宋_GBK" w:cs="Times New Roman"/>
          <w:color w:val="auto"/>
          <w:kern w:val="0"/>
          <w:sz w:val="30"/>
          <w:szCs w:val="30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color w:val="auto"/>
          <w:kern w:val="0"/>
          <w:sz w:val="30"/>
          <w:szCs w:val="30"/>
        </w:rPr>
        <w:t>备注：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0"/>
          <w:szCs w:val="30"/>
          <w:lang w:val="en-US" w:eastAsia="zh-CN"/>
        </w:rPr>
        <w:t>1.报废并更新购置同种类机具的，更新补贴额参照2024-2026年农机购置与应用补贴政策规定的相关机具补贴额执行；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54" w:leftChars="142" w:firstLine="300" w:firstLineChars="100"/>
        <w:jc w:val="left"/>
        <w:textAlignment w:val="auto"/>
        <w:rPr>
          <w:rFonts w:hint="default" w:ascii="Times New Roman" w:hAnsi="Times New Roman" w:eastAsia="方正仿宋_GBK" w:cs="Times New Roman"/>
          <w:color w:val="auto"/>
          <w:kern w:val="0"/>
          <w:sz w:val="30"/>
          <w:szCs w:val="30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kern w:val="0"/>
          <w:sz w:val="30"/>
          <w:szCs w:val="30"/>
          <w:lang w:val="en-US" w:eastAsia="zh-CN"/>
        </w:rPr>
        <w:t>2.农用北斗辅助驾驶系统报废补贴申领要以购置新设备为前提。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left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0"/>
          <w:szCs w:val="30"/>
        </w:rPr>
        <w:br w:type="page"/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3：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若羌县农机报废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回收拆解企业名单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</w:p>
    <w:tbl>
      <w:tblPr>
        <w:tblStyle w:val="8"/>
        <w:tblW w:w="8915" w:type="dxa"/>
        <w:tblInd w:w="10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5"/>
        <w:gridCol w:w="1121"/>
        <w:gridCol w:w="727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sz w:val="32"/>
                <w:szCs w:val="32"/>
                <w:u w:val="none"/>
                <w:lang w:val="en-US"/>
              </w:rPr>
            </w:pPr>
          </w:p>
        </w:tc>
        <w:tc>
          <w:tcPr>
            <w:tcW w:w="1121" w:type="dxa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default" w:ascii="Times New Roman" w:hAnsi="Times New Roman" w:eastAsia="方正仿宋_GBK" w:cs="Times New Roman"/>
                <w:b w:val="0"/>
                <w:bCs w:val="0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若羌县</w:t>
            </w:r>
          </w:p>
        </w:tc>
        <w:tc>
          <w:tcPr>
            <w:tcW w:w="7279" w:type="dxa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560" w:firstLineChars="200"/>
              <w:jc w:val="both"/>
              <w:textAlignment w:val="center"/>
              <w:rPr>
                <w:rFonts w:hint="default" w:ascii="Times New Roman" w:hAnsi="Times New Roman" w:eastAsia="方正仿宋_GBK" w:cs="Times New Roman"/>
                <w:b w:val="0"/>
                <w:bCs w:val="0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新疆巴州万方物资再生利用有限公司若羌县支公司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121" w:type="dxa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default" w:ascii="Times New Roman" w:hAnsi="Times New Roman" w:eastAsia="方正仿宋_GBK" w:cs="Times New Roman"/>
                <w:b w:val="0"/>
                <w:bCs w:val="0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7279" w:type="dxa"/>
            <w:tcBorders>
              <w:tl2br w:val="nil"/>
              <w:tr2bl w:val="nil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560" w:firstLineChars="200"/>
              <w:jc w:val="both"/>
              <w:textAlignment w:val="center"/>
              <w:rPr>
                <w:rFonts w:hint="default" w:ascii="Times New Roman" w:hAnsi="Times New Roman" w:eastAsia="方正仿宋_GBK" w:cs="Times New Roman"/>
                <w:b w:val="0"/>
                <w:bCs w:val="0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新疆巴州万方物资再生利用有限公司（拆解）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宋体" w:cs="Times New Roman"/>
          <w:color w:val="auto"/>
          <w:sz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color w:val="auto"/>
          <w:sz w:val="32"/>
          <w:szCs w:val="32"/>
          <w:lang w:val="en-US" w:eastAsia="zh-CN"/>
        </w:rPr>
        <w:t>备注：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上述企业是经各县市农业农村部门审核备案后，开展农机报废回收业务的企业。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ab/>
      </w:r>
    </w:p>
    <w:p>
      <w:pPr>
        <w:ind w:firstLine="960" w:firstLineChars="300"/>
        <w:jc w:val="left"/>
        <w:rPr>
          <w:rFonts w:hint="eastAsia" w:ascii="方正仿宋_GBK" w:hAnsi="方正仿宋_GBK" w:eastAsia="方正仿宋_GBK" w:cs="方正仿宋_GBK"/>
        </w:rPr>
      </w:pPr>
    </w:p>
    <w:sectPr>
      <w:headerReference r:id="rId3" w:type="default"/>
      <w:footerReference r:id="rId4" w:type="default"/>
      <w:pgSz w:w="11906" w:h="16838"/>
      <w:pgMar w:top="1984" w:right="1531" w:bottom="1871" w:left="1531" w:header="964" w:footer="1644" w:gutter="0"/>
      <w:cols w:space="0" w:num="1"/>
      <w:rtlGutter w:val="0"/>
      <w:docGrid w:linePitch="59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421E27D-7616-4018-BE3E-6821E9D0EEBD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3B66F645-2DB3-43C0-9C20-F53041925C36}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公文小标宋">
    <w:panose1 w:val="02000500000000000000"/>
    <w:charset w:val="86"/>
    <w:family w:val="auto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C38127A1-B2DB-4F77-A145-2E14515FC086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4110FCF5-CCDC-48BC-935F-40D33FB4075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2" w:line="181" w:lineRule="auto"/>
      <w:jc w:val="right"/>
      <w:rPr>
        <w:rFonts w:hint="eastAsia" w:asciiTheme="minorEastAsia" w:hAnsiTheme="minorEastAsia" w:eastAsiaTheme="minorEastAsia" w:cstheme="minorEastAsia"/>
        <w:sz w:val="28"/>
        <w:szCs w:val="28"/>
        <w:lang w:val="en-US" w:eastAsia="zh-CN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tabs>
        <w:tab w:val="left" w:pos="798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E5683A"/>
    <w:multiLevelType w:val="singleLevel"/>
    <w:tmpl w:val="56E5683A"/>
    <w:lvl w:ilvl="0" w:tentative="0">
      <w:start w:val="1"/>
      <w:numFmt w:val="chineseCounting"/>
      <w:pStyle w:val="3"/>
      <w:suff w:val="nothing"/>
      <w:lvlText w:val="（%1）"/>
      <w:lvlJc w:val="left"/>
      <w:pPr>
        <w:tabs>
          <w:tab w:val="left" w:pos="0"/>
        </w:tabs>
        <w:ind w:left="0" w:firstLine="113"/>
      </w:pPr>
      <w:rPr>
        <w:rFonts w:hint="eastAsia" w:eastAsia="方正楷体_GBK"/>
        <w:sz w:val="32"/>
        <w:szCs w:val="3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wZmI3N2JlYjM1YjgzN2U4Y2FkZTNhZGViZDUwNGUifQ=="/>
  </w:docVars>
  <w:rsids>
    <w:rsidRoot w:val="72495A4C"/>
    <w:rsid w:val="0EF8789A"/>
    <w:rsid w:val="18E90EEB"/>
    <w:rsid w:val="4871216C"/>
    <w:rsid w:val="57322814"/>
    <w:rsid w:val="57E70DEE"/>
    <w:rsid w:val="72495A4C"/>
    <w:rsid w:val="7AD84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theme="minorBidi"/>
      <w:snapToGrid w:val="0"/>
      <w:kern w:val="0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3">
    <w:name w:val="heading 3"/>
    <w:basedOn w:val="1"/>
    <w:next w:val="1"/>
    <w:link w:val="14"/>
    <w:unhideWhenUsed/>
    <w:qFormat/>
    <w:uiPriority w:val="9"/>
    <w:pPr>
      <w:keepNext w:val="0"/>
      <w:keepLines w:val="0"/>
      <w:numPr>
        <w:ilvl w:val="0"/>
        <w:numId w:val="1"/>
      </w:numPr>
      <w:adjustRightInd/>
      <w:snapToGrid/>
      <w:spacing w:beforeLines="0" w:beforeAutospacing="0" w:afterLines="0" w:afterAutospacing="0" w:line="578" w:lineRule="exact"/>
      <w:ind w:firstLine="864" w:firstLineChars="200"/>
      <w:outlineLvl w:val="2"/>
    </w:pPr>
    <w:rPr>
      <w:rFonts w:eastAsia="方正楷体_GBK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rPr>
      <w:sz w:val="24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customStyle="1" w:styleId="12">
    <w:name w:val="正文文本 (2)"/>
    <w:basedOn w:val="1"/>
    <w:qFormat/>
    <w:uiPriority w:val="0"/>
    <w:pPr>
      <w:widowControl w:val="0"/>
      <w:shd w:val="clear" w:color="auto" w:fill="FFFFFF"/>
      <w:spacing w:before="1260" w:after="600" w:line="0" w:lineRule="exact"/>
      <w:ind w:hanging="360"/>
      <w:jc w:val="center"/>
    </w:pPr>
    <w:rPr>
      <w:sz w:val="30"/>
      <w:szCs w:val="30"/>
      <w:u w:val="none"/>
    </w:rPr>
  </w:style>
  <w:style w:type="character" w:customStyle="1" w:styleId="13">
    <w:name w:val="15"/>
    <w:basedOn w:val="9"/>
    <w:qFormat/>
    <w:uiPriority w:val="0"/>
    <w:rPr>
      <w:rFonts w:hint="eastAsia" w:ascii="宋体" w:hAnsi="宋体" w:eastAsia="宋体"/>
      <w:color w:val="000000"/>
      <w:sz w:val="24"/>
      <w:szCs w:val="24"/>
    </w:rPr>
  </w:style>
  <w:style w:type="character" w:customStyle="1" w:styleId="14">
    <w:name w:val="标题 3 Char"/>
    <w:link w:val="3"/>
    <w:qFormat/>
    <w:uiPriority w:val="9"/>
    <w:rPr>
      <w:rFonts w:eastAsia="方正楷体_GBK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5741</Words>
  <Characters>6311</Characters>
  <Lines>0</Lines>
  <Paragraphs>0</Paragraphs>
  <TotalTime>2</TotalTime>
  <ScaleCrop>false</ScaleCrop>
  <LinksUpToDate>false</LinksUpToDate>
  <CharactersWithSpaces>6314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2024-12-09T07:43:00Z</dcterms:created>
  <dc:creator>阳地宝</dc:creator>
  <cp:lastModifiedBy>Administrator</cp:lastModifiedBy>
  <dcterms:modified xsi:type="dcterms:W3CDTF">2024-12-10T09:58:41Z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4417D4BFB68248FAA9AEF2C085972B50_11</vt:lpwstr>
  </property>
</Properties>
</file>