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before="104" w:line="207" w:lineRule="auto"/>
        <w:ind w:firstLine="427"/>
        <w:jc w:val="center"/>
        <w:textAlignment w:val="baseline"/>
        <w:rPr>
          <w:rFonts w:hint="default" w:ascii="Times New Roman" w:hAnsi="Times New Roman" w:eastAsia="黑体" w:cs="Times New Roman"/>
          <w:spacing w:val="-3"/>
          <w:sz w:val="32"/>
          <w:szCs w:val="32"/>
          <w:lang w:val="en-US" w:eastAsia="zh-CN"/>
        </w:rPr>
      </w:pPr>
      <w:bookmarkStart w:id="0" w:name="_GoBack"/>
      <w:r>
        <w:rPr>
          <w:rFonts w:hint="default" w:ascii="Times New Roman" w:hAnsi="Times New Roman" w:eastAsia="黑体" w:cs="Times New Roman"/>
          <w:spacing w:val="-3"/>
          <w:sz w:val="32"/>
          <w:szCs w:val="32"/>
          <w:lang w:val="en-US" w:eastAsia="zh-CN"/>
        </w:rPr>
        <w:t xml:space="preserve"> </w:t>
      </w:r>
      <w:r>
        <w:rPr>
          <w:rFonts w:hint="eastAsia" w:ascii="Times New Roman" w:hAnsi="Times New Roman" w:eastAsia="黑体" w:cs="Times New Roman"/>
          <w:spacing w:val="-3"/>
          <w:sz w:val="32"/>
          <w:szCs w:val="32"/>
          <w:lang w:val="en-US" w:eastAsia="zh-CN"/>
        </w:rPr>
        <w:t>若羌县</w:t>
      </w:r>
      <w:r>
        <w:rPr>
          <w:rFonts w:hint="default" w:ascii="Times New Roman" w:hAnsi="Times New Roman" w:eastAsia="黑体" w:cs="Times New Roman"/>
          <w:spacing w:val="-3"/>
          <w:sz w:val="32"/>
          <w:szCs w:val="32"/>
          <w:u w:val="none"/>
          <w:lang w:val="en-US" w:eastAsia="zh-CN"/>
        </w:rPr>
        <w:t>市监局</w:t>
      </w:r>
      <w:r>
        <w:rPr>
          <w:rFonts w:hint="default" w:ascii="Times New Roman" w:hAnsi="Times New Roman" w:eastAsia="黑体" w:cs="Times New Roman"/>
          <w:spacing w:val="-3"/>
          <w:sz w:val="32"/>
          <w:szCs w:val="32"/>
          <w:lang w:val="en-US" w:eastAsia="zh-CN"/>
        </w:rPr>
        <w:t>2023年度</w:t>
      </w:r>
      <w:r>
        <w:rPr>
          <w:rFonts w:hint="eastAsia" w:ascii="Times New Roman" w:hAnsi="Times New Roman" w:eastAsia="黑体" w:cs="Times New Roman"/>
          <w:spacing w:val="-3"/>
          <w:sz w:val="32"/>
          <w:szCs w:val="32"/>
          <w:lang w:val="en-US" w:eastAsia="zh-CN"/>
        </w:rPr>
        <w:t>内部</w:t>
      </w:r>
      <w:r>
        <w:rPr>
          <w:rFonts w:hint="default" w:ascii="Times New Roman" w:hAnsi="Times New Roman" w:eastAsia="黑体" w:cs="Times New Roman"/>
          <w:spacing w:val="-3"/>
          <w:sz w:val="32"/>
          <w:szCs w:val="32"/>
          <w:lang w:val="en-US" w:eastAsia="zh-CN"/>
        </w:rPr>
        <w:t>“</w:t>
      </w:r>
      <w:r>
        <w:rPr>
          <w:rFonts w:hint="default" w:ascii="Times New Roman" w:hAnsi="Times New Roman" w:eastAsia="黑体" w:cs="Times New Roman"/>
          <w:spacing w:val="-3"/>
          <w:sz w:val="32"/>
          <w:szCs w:val="32"/>
          <w:lang w:eastAsia="zh-CN"/>
        </w:rPr>
        <w:t>双随机</w:t>
      </w:r>
      <w:r>
        <w:rPr>
          <w:rFonts w:hint="eastAsia" w:ascii="Times New Roman" w:hAnsi="Times New Roman" w:eastAsia="黑体" w:cs="Times New Roman"/>
          <w:spacing w:val="-3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黑体" w:cs="Times New Roman"/>
          <w:spacing w:val="-3"/>
          <w:sz w:val="32"/>
          <w:szCs w:val="32"/>
          <w:lang w:val="en-US" w:eastAsia="zh-CN"/>
        </w:rPr>
        <w:t>一公开</w:t>
      </w:r>
      <w:r>
        <w:rPr>
          <w:rFonts w:hint="default" w:ascii="Times New Roman" w:hAnsi="Times New Roman" w:eastAsia="黑体" w:cs="Times New Roman"/>
          <w:spacing w:val="-3"/>
          <w:sz w:val="32"/>
          <w:szCs w:val="32"/>
          <w:lang w:val="en-US" w:eastAsia="zh-CN"/>
        </w:rPr>
        <w:t>”抽查工作计划</w:t>
      </w:r>
    </w:p>
    <w:bookmarkEnd w:id="0"/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 w:val="0"/>
        <w:snapToGrid w:val="0"/>
        <w:spacing w:line="27" w:lineRule="auto"/>
        <w:jc w:val="center"/>
        <w:textAlignment w:val="baseline"/>
        <w:rPr>
          <w:rFonts w:hint="default" w:ascii="Times New Roman" w:hAnsi="Times New Roman" w:cs="Times New Roman"/>
          <w:sz w:val="2"/>
        </w:rPr>
      </w:pPr>
    </w:p>
    <w:tbl>
      <w:tblPr>
        <w:tblStyle w:val="6"/>
        <w:tblpPr w:leftFromText="180" w:rightFromText="180" w:vertAnchor="text" w:horzAnchor="page" w:tblpX="989" w:tblpY="392"/>
        <w:tblOverlap w:val="never"/>
        <w:tblW w:w="14660" w:type="dxa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54"/>
        <w:gridCol w:w="1799"/>
        <w:gridCol w:w="1350"/>
        <w:gridCol w:w="1529"/>
        <w:gridCol w:w="825"/>
        <w:gridCol w:w="810"/>
        <w:gridCol w:w="1544"/>
        <w:gridCol w:w="1589"/>
        <w:gridCol w:w="1185"/>
        <w:gridCol w:w="1350"/>
        <w:gridCol w:w="132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8" w:hRule="atLeast"/>
        </w:trPr>
        <w:tc>
          <w:tcPr>
            <w:tcW w:w="135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抽查计划 编号</w:t>
            </w:r>
          </w:p>
        </w:tc>
        <w:tc>
          <w:tcPr>
            <w:tcW w:w="179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抽查计划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名称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抽查任务 编号</w:t>
            </w:r>
          </w:p>
        </w:tc>
        <w:tc>
          <w:tcPr>
            <w:tcW w:w="152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抽查任务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 xml:space="preserve"> 名称</w:t>
            </w:r>
          </w:p>
        </w:tc>
        <w:tc>
          <w:tcPr>
            <w:tcW w:w="8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类型</w:t>
            </w:r>
          </w:p>
        </w:tc>
        <w:tc>
          <w:tcPr>
            <w:tcW w:w="81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比例</w:t>
            </w:r>
          </w:p>
        </w:tc>
        <w:tc>
          <w:tcPr>
            <w:tcW w:w="1544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事项</w:t>
            </w:r>
          </w:p>
        </w:tc>
        <w:tc>
          <w:tcPr>
            <w:tcW w:w="1589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抽查对象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范围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发起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科室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联合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科室</w:t>
            </w:r>
          </w:p>
        </w:tc>
        <w:tc>
          <w:tcPr>
            <w:tcW w:w="132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抽查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09" w:line="258" w:lineRule="auto"/>
              <w:ind w:left="239" w:leftChars="0" w:right="194" w:rightChars="0" w:hanging="41" w:firstLineChars="0"/>
              <w:jc w:val="center"/>
              <w:textAlignment w:val="baseline"/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</w:pPr>
            <w:r>
              <w:rPr>
                <w:rFonts w:hint="eastAsia" w:ascii="Times New Roman" w:hAnsi="Times New Roman" w:eastAsia="黑体" w:cs="Times New Roman"/>
                <w:spacing w:val="-3"/>
                <w:sz w:val="21"/>
                <w:szCs w:val="21"/>
              </w:rPr>
              <w:t>时间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9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2023001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2023年若羌县市场监管局内部联合双随机抽查001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001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粮食企业专项抽查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粮食生产企业食品安全检查、计量器具、特种设备安全检查、粮食收购价格检查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2023年6月30日以前设立的所有粮食生产、收购企业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食品生产科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食品生产科、计量所、价格科、特设科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2023年6月至8月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9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2023002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2023年若羌县市场监管局内部联合双随机抽查002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002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药械专项抽查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药品与医疗器械的进货渠道来源检查、质量安全检查、明码标价检查、年报公示信 息检查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2023年3月31以前设立所有药品经营企业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药化科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药化科、价格科、信用监管科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2023年4月至6月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8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2023003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2023年若羌县市场监管局内部联合双随机抽查003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0003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农业生产资料抽查管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1、农药监督检查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2、肥料监督检查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3、种子监督检查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4、地膜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农药生产者、经营者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肥料生产经营者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种子生产经营者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若羌市监局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执法稽查科、双反科、特设科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2023年3月至9月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2023004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2023年若羌县市场监管局内部联合双随机抽查004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004号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棉花加工企业抽查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棉花加工企业基本技术条件检查，安全生产检查、计量器具、特种设备安全检查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县域内棉花生产加工企业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纤维检测科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纤维检测科、计量所、特设科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2023005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2023年若羌县市场监管局内部联合双随机抽查005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005号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虚假违法广告、年报公示信息抽查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虚假违法广告主体检查、年报公示信息检查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2023年2月28日前登记设立、已成立状态的企业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 告 监 管科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信用监管科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 4月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2023006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2023年若羌县市场监管局内部联合双随机抽查006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006号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供热企业锅炉专项抽查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供热企业锅炉安全检查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2023年6月30日以前设立的所有供热企业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执法稽查大队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2023年2月至3月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2023007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2023年若羌县市场监管局内部联合双随机抽查007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007号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电梯使用单位专项抽查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人员密集小区电梯专项检查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2023年6月30日以前设立的所有物业管理公司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执法稽查大队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135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2023008</w:t>
            </w:r>
          </w:p>
        </w:tc>
        <w:tc>
          <w:tcPr>
            <w:tcW w:w="179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2023年若羌县市场监管局内部联合双随机抽查008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008号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工贸企业压力容器专项抽查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50%</w:t>
            </w:r>
          </w:p>
        </w:tc>
        <w:tc>
          <w:tcPr>
            <w:tcW w:w="15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工贸企业压力容器安全检查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2023年6月30日以前设立的所有工贸企业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执法稽查大队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2023年5月至6月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2023009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2023年若羌县市场监管局内部联合双随机抽查009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009号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红枣加工企业叉车使用情况抽查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红枣加工企业叉车安全检查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2023年6月30日以前设立的所有红枣加工企业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食品生产科、计量所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2023年6月至8月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2023010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2023年若羌县市场监管局内部联合双随机抽查010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010号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加油站、加气站计量器具专项抽查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加油、加气机计量企业检查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2023年6月30日以前设立的所有加油加气站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计量所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2023011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2023年若羌县市场监管局内部联合双随机抽查011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011号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年报公示信 息检查、广告行为检查、产 品质量检查抽查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年报公示信 息检查、广告行为检查、产 品质量检查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2023年2月28日前登记设立、已成立状态的企业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信用监管科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 告 监 管科、产品质量监管科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 3月至 4月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2023012</w:t>
            </w:r>
          </w:p>
        </w:tc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2023年若羌县市场监管局内部联合双随机抽查012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012号</w:t>
            </w:r>
          </w:p>
        </w:tc>
        <w:tc>
          <w:tcPr>
            <w:tcW w:w="15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打击假冒商标、商标侵权等违法行为内部联合双随机抽查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1%</w:t>
            </w:r>
          </w:p>
        </w:tc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假冒商标、商标侵权及若羌红枣等违法行检查</w:t>
            </w:r>
          </w:p>
        </w:tc>
        <w:tc>
          <w:tcPr>
            <w:tcW w:w="158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集贸市场、商超、食品经营户、五金店、汽车配件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知识产权保护与促进科</w:t>
            </w:r>
          </w:p>
        </w:tc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反垄断和反不正当竞争科、食品药品安全执法大队</w:t>
            </w:r>
          </w:p>
        </w:tc>
        <w:tc>
          <w:tcPr>
            <w:tcW w:w="132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2023年7月至8月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2023013</w:t>
            </w:r>
          </w:p>
        </w:tc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2023年若羌县市场监管局内部联合双随机抽查013</w:t>
            </w:r>
          </w:p>
        </w:tc>
        <w:tc>
          <w:tcPr>
            <w:tcW w:w="1350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013号</w:t>
            </w:r>
          </w:p>
        </w:tc>
        <w:tc>
          <w:tcPr>
            <w:tcW w:w="152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非正常专利申请和不以使用为目的的商标恶意注册行为,知识产权代理违法行为内部联合双随机抽查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2%</w:t>
            </w:r>
          </w:p>
        </w:tc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非正常专利申请和不以使用为目的的商标恶意注册,知识产权代理违法行为检查</w:t>
            </w:r>
          </w:p>
        </w:tc>
        <w:tc>
          <w:tcPr>
            <w:tcW w:w="1589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专利申请、注册商标企业级个人，知识产权代理行业</w:t>
            </w:r>
          </w:p>
        </w:tc>
        <w:tc>
          <w:tcPr>
            <w:tcW w:w="118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知识产权保护与促进科</w:t>
            </w:r>
          </w:p>
        </w:tc>
        <w:tc>
          <w:tcPr>
            <w:tcW w:w="0" w:type="auto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反垄断和反不正当竞争科</w:t>
            </w:r>
          </w:p>
        </w:tc>
        <w:tc>
          <w:tcPr>
            <w:tcW w:w="1325" w:type="dxa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2023年9月至10月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2023014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2023年若羌县市场监管局内部联合双随机抽查014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014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节日期间集贸市场计量器具专项检查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集贸市场在用的计量器具专项检查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集贸市场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综合执法科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2023年1月至 2月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2023015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2023年若羌县市场监管局内部联合双随机抽查015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015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重点企业及建筑工地计量器具专项检查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重点企业及建筑工地在用的计量器具专项检查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重点企业及建筑工地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2023年5月至10月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2023016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2023年若羌县市场监管局内部联合双随机抽查016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016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成品油销售企业计量器具专项检查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成品油销售企业在用的计量器具专项检查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中石油、中石化及私营加油站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特设科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2023年4月至10月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2023017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2023年若羌县市场监管局内部联合双随机抽查017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017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若羌县市场主体年报信息公示抽查、对未申报年报信息的企业抽查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市场主体年报信息公示抽查、对未申报年报信息的企业抽查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不定向抽查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信用监管科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综合执法科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6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2023018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2023年若羌县市场监管局内部联合双随机抽查018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018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强制性标准监督检查抽查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规定公开其执行强制性标准、推荐性标准、团体标准和企业标准的编号和名称检查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企业标准信息公共服务平台自我声明公开标准标准的企业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标准化科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反垄断和反不正当竞争科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2023年7月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2023019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2023年若羌县市场监管局内部联合双随机抽查019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019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合同格式条款监督检查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合同格式条款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物业服务企业、汽车销售服务企业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双反科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综合执法科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2023年3月至9月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2023020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2023年若羌县市场监管局内部联合双随机抽查020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020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涉企收费专项检查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对机关事业单位、物流、行业协会、停车位收费专项检查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县域内收费企业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价格监管科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综合执法科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2023年6月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2023021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2023年若羌县市场监管局内部联合双随机抽查021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021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化妆品专项抽查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定向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化妆品经营单位的监督检查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全县化妆品经营户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药化科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综合执法科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2023年3月至10月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8" w:hRule="atLeast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2023022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2023年若羌县市场监管局内部联合双随机抽查022</w:t>
            </w:r>
          </w:p>
        </w:tc>
        <w:tc>
          <w:tcPr>
            <w:tcW w:w="135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022</w:t>
            </w:r>
          </w:p>
        </w:tc>
        <w:tc>
          <w:tcPr>
            <w:tcW w:w="152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餐饮服务专项抽查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随机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30%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食品经营许可情况、场所和设施清洁维护、餐饮具清洗消毒情况的检查</w:t>
            </w:r>
          </w:p>
        </w:tc>
        <w:tc>
          <w:tcPr>
            <w:tcW w:w="158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全县餐饮行业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食品经营科</w:t>
            </w:r>
          </w:p>
        </w:tc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综合执法科</w:t>
            </w:r>
          </w:p>
        </w:tc>
        <w:tc>
          <w:tcPr>
            <w:tcW w:w="132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2023年3月至10月</w:t>
            </w:r>
          </w:p>
        </w:tc>
      </w:tr>
    </w:tbl>
    <w:p/>
    <w:p/>
    <w:sectPr>
      <w:headerReference r:id="rId5" w:type="default"/>
      <w:footerReference r:id="rId6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5" w:lineRule="exact"/>
      <w:ind w:firstLine="12480"/>
      <w:rPr>
        <w:rFonts w:ascii="宋体" w:hAnsi="宋体" w:eastAsia="宋体" w:cs="宋体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宋体"/>
        <w:sz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kODNjNzg1MDcxOTAyNzc5N2FhY2NkYWRkNGRkMWIifQ=="/>
  </w:docVars>
  <w:rsids>
    <w:rsidRoot w:val="431130E5"/>
    <w:rsid w:val="4311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ind w:firstLine="420" w:firstLineChars="100"/>
    </w:pPr>
  </w:style>
  <w:style w:type="paragraph" w:styleId="3">
    <w:name w:val="Body Text"/>
    <w:basedOn w:val="1"/>
    <w:next w:val="2"/>
    <w:qFormat/>
    <w:uiPriority w:val="99"/>
    <w:pPr>
      <w:spacing w:after="120"/>
    </w:pPr>
  </w:style>
  <w:style w:type="table" w:customStyle="1" w:styleId="6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2023-02-28T10:58:00Z</dcterms:created>
  <dc:creator>杨二家的</dc:creator>
  <cp:lastModifiedBy>杨二家的</cp:lastModifiedBy>
  <dcterms:modified xsi:type="dcterms:W3CDTF">2023-02-28T10:58:35Z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490C7F9E44994EC592D49C1063E0136B</vt:lpwstr>
  </property>
</Properties>
</file>