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E475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pacing w:val="0"/>
          <w:sz w:val="44"/>
          <w:szCs w:val="44"/>
        </w:rPr>
      </w:pPr>
    </w:p>
    <w:p w14:paraId="786B39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pacing w:val="0"/>
          <w:sz w:val="44"/>
          <w:szCs w:val="44"/>
        </w:rPr>
      </w:pPr>
    </w:p>
    <w:p w14:paraId="7EDCAF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pacing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</w:rPr>
        <w:t>若羌县第四轮草原生态保护补助奖励政策实施方案（2026—2030年）</w:t>
      </w:r>
    </w:p>
    <w:p w14:paraId="202BCCC2">
      <w:pPr>
        <w:spacing w:before="112" w:line="228" w:lineRule="auto"/>
        <w:ind w:left="3470"/>
        <w:rPr>
          <w:rFonts w:ascii="楷体" w:hAnsi="楷体" w:eastAsia="楷体" w:cs="楷体"/>
          <w:spacing w:val="0"/>
          <w:sz w:val="33"/>
          <w:szCs w:val="33"/>
        </w:rPr>
      </w:pPr>
      <w:r>
        <w:rPr>
          <w:rFonts w:ascii="楷体" w:hAnsi="楷体" w:eastAsia="楷体" w:cs="楷体"/>
          <w:color w:val="707070"/>
          <w:spacing w:val="0"/>
          <w:sz w:val="33"/>
          <w:szCs w:val="33"/>
        </w:rPr>
        <w:t>(</w:t>
      </w:r>
      <w:r>
        <w:rPr>
          <w:rFonts w:hint="eastAsia" w:ascii="楷体" w:hAnsi="楷体" w:eastAsia="楷体" w:cs="楷体"/>
          <w:color w:val="707070"/>
          <w:spacing w:val="0"/>
          <w:sz w:val="33"/>
          <w:szCs w:val="33"/>
          <w:lang w:eastAsia="zh-CN"/>
        </w:rPr>
        <w:t>征求意见</w:t>
      </w:r>
      <w:r>
        <w:rPr>
          <w:rFonts w:ascii="楷体" w:hAnsi="楷体" w:eastAsia="楷体" w:cs="楷体"/>
          <w:color w:val="707070"/>
          <w:spacing w:val="0"/>
          <w:sz w:val="33"/>
          <w:szCs w:val="33"/>
        </w:rPr>
        <w:t>稿)</w:t>
      </w:r>
    </w:p>
    <w:p w14:paraId="755B070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0"/>
        <w:jc w:val="both"/>
        <w:textAlignment w:val="auto"/>
        <w:rPr>
          <w:rFonts w:hint="default" w:ascii="Times New Roman" w:hAnsi="Times New Roman" w:eastAsia="方正仿宋_GBK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为深入贯彻落实国家、自治区关于第四轮草原生态保护补助奖励政策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eastAsia="zh-CN"/>
        </w:rPr>
        <w:t>（以下简称草补）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工作部署，全面推进草原生态保护、畜牧业转型升级和农牧民持续增收，“十五五”期间，启动实施第四轮草原补奖政策，根据</w:t>
      </w:r>
      <w:r>
        <w:t>《财政部 农业农村部 国家林草局关于印发〈第四轮草原生态保护补助奖励政策实施指导意见〉的通知》（财农〔2026〕37号）</w:t>
      </w:r>
      <w:r>
        <w:rPr>
          <w:rFonts w:hint="eastAsia"/>
          <w:lang w:eastAsia="zh-CN"/>
        </w:rPr>
        <w:t>和</w:t>
      </w:r>
      <w:r>
        <w:t>《自治区第四轮草原生态保护补助奖励政策实施方案（2026—2030年）》（新农饲〔2026〕150号）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等文件要求，结合</w:t>
      </w:r>
      <w:r>
        <w:t>巴音郭楞蒙古自治州</w:t>
      </w:r>
      <w:r>
        <w:rPr>
          <w:rFonts w:hint="eastAsia"/>
          <w:lang w:val="en-US" w:eastAsia="zh-CN"/>
        </w:rPr>
        <w:t>2026-2030年每年</w:t>
      </w:r>
      <w:r>
        <w:rPr>
          <w:rFonts w:hint="eastAsia"/>
          <w:lang w:eastAsia="zh-CN"/>
        </w:rPr>
        <w:t>草补资金</w:t>
      </w:r>
      <w:r>
        <w:t>任务分</w:t>
      </w:r>
      <w:r>
        <w:rPr>
          <w:rFonts w:hint="eastAsia"/>
          <w:lang w:eastAsia="zh-CN"/>
        </w:rPr>
        <w:t>配</w:t>
      </w:r>
      <w:r>
        <w:t>表</w:t>
      </w:r>
      <w:r>
        <w:rPr>
          <w:rFonts w:hint="eastAsia"/>
          <w:lang w:eastAsia="zh-CN"/>
        </w:rPr>
        <w:t>和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我县实际，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eastAsia="zh-CN"/>
        </w:rPr>
        <w:t>初步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制定本实施方案。</w:t>
      </w:r>
    </w:p>
    <w:p w14:paraId="3B9033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黑体_GBK" w:hAnsi="方正黑体_GBK" w:eastAsia="方正黑体_GBK" w:cs="方正黑体_GBK"/>
          <w:spacing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pacing w:val="0"/>
          <w:sz w:val="32"/>
          <w:szCs w:val="32"/>
        </w:rPr>
        <w:t>第一章 总则</w:t>
      </w:r>
    </w:p>
    <w:p w14:paraId="098107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方正楷体_GBK" w:hAnsi="方正楷体_GBK" w:eastAsia="方正楷体_GBK" w:cs="方正楷体_GBK"/>
          <w:spacing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pacing w:val="0"/>
          <w:sz w:val="32"/>
          <w:szCs w:val="32"/>
        </w:rPr>
        <w:t>一</w:t>
      </w:r>
      <w:r>
        <w:rPr>
          <w:rFonts w:hint="default" w:ascii="方正楷体_GBK" w:hAnsi="方正楷体_GBK" w:eastAsia="方正楷体_GBK" w:cs="方正楷体_GBK"/>
          <w:spacing w:val="0"/>
          <w:sz w:val="32"/>
          <w:szCs w:val="32"/>
        </w:rPr>
        <w:t>、实施周期</w:t>
      </w:r>
    </w:p>
    <w:p w14:paraId="09D295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2026年1月1日至2030年12月31日。</w:t>
      </w:r>
    </w:p>
    <w:p w14:paraId="32416D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方正楷体_GBK" w:hAnsi="方正楷体_GBK" w:eastAsia="方正楷体_GBK" w:cs="方正楷体_GBK"/>
          <w:spacing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pacing w:val="0"/>
          <w:sz w:val="32"/>
          <w:szCs w:val="32"/>
          <w:lang w:eastAsia="zh-CN"/>
        </w:rPr>
        <w:t>二</w:t>
      </w:r>
      <w:r>
        <w:rPr>
          <w:rFonts w:hint="default" w:ascii="方正楷体_GBK" w:hAnsi="方正楷体_GBK" w:eastAsia="方正楷体_GBK" w:cs="方正楷体_GBK"/>
          <w:spacing w:val="0"/>
          <w:sz w:val="32"/>
          <w:szCs w:val="32"/>
        </w:rPr>
        <w:t>、总体目标</w:t>
      </w:r>
    </w:p>
    <w:p w14:paraId="156A10F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lang w:val="en-US" w:eastAsia="en-US" w:bidi="ar-SA"/>
        </w:rPr>
        <w:t>坚持以习近平新时代中国特色社会主义思想为指导，牢固树立和践行习近平生态文明思想，完整准确全面贯彻新发展理念、新时代党的治疆方略，紧扣铸牢中华民族共同体意识，锚定全国优质农牧产品供给基地定位；以草原生态保护为主线，以农牧民持续增收为核心，</w:t>
      </w:r>
      <w:r>
        <w:t>坚持政策</w:t>
      </w:r>
      <w:r>
        <w:rPr>
          <w:b/>
          <w:bCs/>
        </w:rPr>
        <w:t>大稳定、小调整</w:t>
      </w:r>
      <w:r>
        <w:t>，落实资金、任务、目标、责任“四到乡镇”，执行任务落实、资金发放、建档立卡、服务指导、监督管理“五到户（场）”</w:t>
      </w: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lang w:val="en-US" w:eastAsia="en-US" w:bidi="ar-SA"/>
        </w:rPr>
        <w:t>建立补奖资金核发与禁牧草畜平衡履职、草食畜产能提升挂钩机制，实现草原增绿、牧民增收、畜牧业增效共赢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，筑牢若羌生态安全屏障。</w:t>
      </w:r>
    </w:p>
    <w:p w14:paraId="752BBD9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spacing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lang w:eastAsia="zh-CN"/>
        </w:rPr>
        <w:t>（一）</w:t>
      </w:r>
      <w:r>
        <w:rPr>
          <w:rFonts w:hint="default" w:ascii="Times New Roman" w:hAnsi="Times New Roman" w:eastAsia="方正仿宋_GBK" w:cs="Times New Roman"/>
          <w:b/>
          <w:bCs/>
          <w:spacing w:val="0"/>
          <w:sz w:val="32"/>
          <w:szCs w:val="32"/>
        </w:rPr>
        <w:t>草原生态持续改善。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坚持保护与发展并重，引导补奖资金用于饲草料保障、棚圈建设和畜牧业转型升级。全面落实草原禁牧和草畜平衡制度，草原超载过牧、违规放牧现象得到全面遏制，到2030年全区草原综合植被盖度达到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yellow"/>
        </w:rPr>
        <w:t>42%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以上。</w:t>
      </w:r>
    </w:p>
    <w:p w14:paraId="79FA5CD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spacing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lang w:eastAsia="zh-CN"/>
        </w:rPr>
        <w:t>（二）</w:t>
      </w:r>
      <w:r>
        <w:rPr>
          <w:rFonts w:hint="default" w:ascii="Times New Roman" w:hAnsi="Times New Roman" w:eastAsia="方正仿宋_GBK" w:cs="Times New Roman"/>
          <w:b/>
          <w:bCs/>
          <w:spacing w:val="0"/>
          <w:sz w:val="32"/>
          <w:szCs w:val="32"/>
        </w:rPr>
        <w:t>草食畜产品综合生产能力稳步提升。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草原畜牧业生产方式加快转变，畜牧业生产质效水平稳步提升，落实巴州下达牧区牲畜存栏任务，牛出栏率提升至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yellow"/>
          <w:lang w:val="en-US" w:eastAsia="zh-CN"/>
        </w:rPr>
        <w:t>23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yellow"/>
        </w:rPr>
        <w:t>%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以上、羊出栏率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yellow"/>
          <w:lang w:val="en-US" w:eastAsia="zh-CN"/>
        </w:rPr>
        <w:t>43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yellow"/>
        </w:rPr>
        <w:t>%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以上。</w:t>
      </w:r>
    </w:p>
    <w:p w14:paraId="40B5093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spacing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lang w:eastAsia="zh-CN"/>
        </w:rPr>
        <w:t>（三）</w:t>
      </w:r>
      <w:r>
        <w:rPr>
          <w:rFonts w:hint="default" w:ascii="Times New Roman" w:hAnsi="Times New Roman" w:eastAsia="方正仿宋_GBK" w:cs="Times New Roman"/>
          <w:b/>
          <w:bCs/>
          <w:spacing w:val="0"/>
          <w:sz w:val="32"/>
          <w:szCs w:val="32"/>
        </w:rPr>
        <w:t>牧民收入水平稳步提升。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根据国家测算标准，适当提高草 原禁牧补助和草畜平衡奖励标准、增加农牧民草原补奖政策性收入，推进草原畜牧业转型升级，提高畜牧业生产效益，促进 牧区富余劳动力转移转产就业增收。“十五五”期间，草原补奖政 策受益农牧民人均可支配收入增速接近全区 GDP 增速。</w:t>
      </w:r>
    </w:p>
    <w:p w14:paraId="7FFBCD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黑体_GBK" w:hAnsi="方正黑体_GBK" w:eastAsia="方正黑体_GBK" w:cs="方正黑体_GBK"/>
          <w:spacing w:val="0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spacing w:val="0"/>
          <w:sz w:val="32"/>
          <w:szCs w:val="32"/>
        </w:rPr>
        <w:t>第二章 实施范围与对象</w:t>
      </w:r>
    </w:p>
    <w:p w14:paraId="1A9866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方正楷体_GBK" w:hAnsi="方正楷体_GBK" w:eastAsia="方正楷体_GBK" w:cs="方正楷体_GBK"/>
          <w:spacing w:val="0"/>
          <w:sz w:val="32"/>
          <w:szCs w:val="32"/>
        </w:rPr>
      </w:pPr>
      <w:r>
        <w:rPr>
          <w:rFonts w:hint="default" w:ascii="方正楷体_GBK" w:hAnsi="方正楷体_GBK" w:eastAsia="方正楷体_GBK" w:cs="方正楷体_GBK"/>
          <w:spacing w:val="0"/>
          <w:sz w:val="32"/>
          <w:szCs w:val="32"/>
        </w:rPr>
        <w:t>一、实施范围</w:t>
      </w:r>
    </w:p>
    <w:p w14:paraId="67A7CF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若羌县全域草原，涵盖全县所有牧区乡镇、国有农牧场、涉草企业及合作社。</w:t>
      </w:r>
    </w:p>
    <w:p w14:paraId="133D93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方正楷体_GBK" w:hAnsi="方正楷体_GBK" w:eastAsia="方正楷体_GBK" w:cs="方正楷体_GBK"/>
          <w:spacing w:val="0"/>
          <w:sz w:val="32"/>
          <w:szCs w:val="32"/>
        </w:rPr>
      </w:pPr>
      <w:r>
        <w:rPr>
          <w:rFonts w:hint="default" w:ascii="方正楷体_GBK" w:hAnsi="方正楷体_GBK" w:eastAsia="方正楷体_GBK" w:cs="方正楷体_GBK"/>
          <w:spacing w:val="0"/>
          <w:sz w:val="32"/>
          <w:szCs w:val="32"/>
        </w:rPr>
        <w:t>二、实施对象</w:t>
      </w:r>
    </w:p>
    <w:p w14:paraId="1AA55702">
      <w:pPr>
        <w:pStyle w:val="9"/>
        <w:numPr>
          <w:ilvl w:val="0"/>
          <w:numId w:val="0"/>
        </w:numPr>
        <w:ind w:leftChars="0" w:firstLine="640" w:firstLineChars="200"/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持有县级人民政府核发《草原使用权证》《草原承包合同书》，签订禁牧/草畜平衡责任书、按期履行管护义务的农牧户；依法承包国有确权草原、完整落实草原生态保护责任的国有农林牧渔场、养殖企业、草畜联营合作社；经县农业农村、林草、财政三部门联合认定，合规使用确权承包草原并履行生态管护义务的其他经营主体。</w:t>
      </w:r>
    </w:p>
    <w:p w14:paraId="1AACF0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黑体_GBK" w:hAnsi="方正黑体_GBK" w:eastAsia="方正黑体_GBK" w:cs="方正黑体_GBK"/>
          <w:spacing w:val="0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spacing w:val="0"/>
          <w:sz w:val="32"/>
          <w:szCs w:val="32"/>
        </w:rPr>
        <w:t>第三章 核心政策标准</w:t>
      </w:r>
    </w:p>
    <w:p w14:paraId="111B9C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方正楷体_GBK" w:hAnsi="方正楷体_GBK" w:eastAsia="方正楷体_GBK" w:cs="方正楷体_GBK"/>
          <w:spacing w:val="0"/>
          <w:sz w:val="32"/>
          <w:szCs w:val="32"/>
        </w:rPr>
      </w:pPr>
      <w:r>
        <w:rPr>
          <w:rFonts w:hint="default" w:ascii="方正楷体_GBK" w:hAnsi="方正楷体_GBK" w:eastAsia="方正楷体_GBK" w:cs="方正楷体_GBK"/>
          <w:spacing w:val="0"/>
          <w:sz w:val="32"/>
          <w:szCs w:val="32"/>
        </w:rPr>
        <w:t>一、补奖面积核定</w:t>
      </w:r>
    </w:p>
    <w:p w14:paraId="27AA69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default" w:ascii="Times New Roman" w:hAnsi="Times New Roman" w:eastAsia="方正仿宋_GBK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若羌县地处巴音郭楞蒙古自治州东南部，塔克拉玛干沙漠东南缘，东经86°45一93°45'，北纬36°-41°23'。西接且末，北邻尉犁县及鄯善县和哈密市，东与甘肃省、青海省交界，南与西藏自治区接壤，全县辖两个管委会、四镇、四乡。以草原承包证为基础，结合国土三调、林草湿荒综合普查数据，由县林业和草原局核定全县禁牧、草畜平衡总面积，明确草畜平衡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lang w:eastAsia="zh-CN"/>
        </w:rPr>
        <w:t>面积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lang w:val="en-US" w:eastAsia="zh-CN"/>
        </w:rPr>
        <w:t>1848.69万亩。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lang w:eastAsia="zh-CN"/>
        </w:rPr>
        <w:t>经前期的调查，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全县可利用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lang w:eastAsia="zh-CN"/>
        </w:rPr>
        <w:t>草原面积3051.58万亩，核定新一轮政策实施面积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lang w:val="en-US" w:eastAsia="zh-CN"/>
        </w:rPr>
        <w:t>1694.751733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lang w:eastAsia="zh-CN"/>
        </w:rPr>
        <w:t>万亩，畜草畜平衡草场面积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lang w:val="en-US" w:eastAsia="zh-CN"/>
        </w:rPr>
        <w:t>1694.751733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lang w:eastAsia="zh-CN"/>
        </w:rPr>
        <w:t>万亩，无人区草场面积(无继承人无法续包面积)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lang w:val="en-US" w:eastAsia="zh-CN"/>
        </w:rPr>
        <w:t>148.2382671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lang w:eastAsia="zh-CN"/>
        </w:rPr>
        <w:t>万亩，草原合法占用5.7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lang w:eastAsia="zh-CN"/>
        </w:rPr>
        <w:t>万亩，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lang w:eastAsia="zh-CN"/>
        </w:rPr>
        <w:t>理论载畜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量为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yellow"/>
          <w:lang w:val="en-US" w:eastAsia="zh-CN"/>
        </w:rPr>
        <w:t>40.8803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lang w:val="en-US" w:eastAsia="zh-CN"/>
        </w:rPr>
        <w:t>万绵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羊单位。</w:t>
      </w:r>
    </w:p>
    <w:p w14:paraId="45DF43DB">
      <w:pPr>
        <w:pStyle w:val="2"/>
        <w:rPr>
          <w:rFonts w:hint="default"/>
        </w:rPr>
      </w:pPr>
    </w:p>
    <w:p w14:paraId="71CC49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402" w:firstLineChars="200"/>
        <w:jc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0"/>
          <w:kern w:val="0"/>
          <w:sz w:val="20"/>
          <w:szCs w:val="20"/>
          <w:u w:val="none"/>
          <w:lang w:val="en-US" w:eastAsia="zh-CN" w:bidi="ar"/>
        </w:rPr>
      </w:pPr>
    </w:p>
    <w:p w14:paraId="7CF0C387">
      <w:pPr>
        <w:pStyle w:val="2"/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0"/>
          <w:kern w:val="0"/>
          <w:sz w:val="20"/>
          <w:szCs w:val="20"/>
          <w:u w:val="none"/>
          <w:lang w:val="en-US" w:eastAsia="zh-CN" w:bidi="ar"/>
        </w:rPr>
      </w:pPr>
    </w:p>
    <w:p w14:paraId="6E0C0F7C">
      <w:pPr>
        <w:pStyle w:val="3"/>
        <w:rPr>
          <w:rFonts w:hint="eastAsia"/>
          <w:lang w:val="en-US" w:eastAsia="zh-CN"/>
        </w:rPr>
      </w:pPr>
    </w:p>
    <w:p w14:paraId="539D80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402" w:firstLineChars="200"/>
        <w:jc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0"/>
          <w:kern w:val="0"/>
          <w:sz w:val="20"/>
          <w:szCs w:val="20"/>
          <w:u w:val="none"/>
          <w:lang w:val="en-US" w:eastAsia="zh-CN" w:bidi="ar"/>
        </w:rPr>
      </w:pPr>
    </w:p>
    <w:p w14:paraId="0214BF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402" w:firstLineChars="200"/>
        <w:jc w:val="center"/>
        <w:rPr>
          <w:rFonts w:hint="eastAsia" w:ascii="宋体" w:hAnsi="宋体" w:eastAsia="宋体" w:cs="宋体"/>
          <w:spacing w:val="0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0"/>
          <w:kern w:val="0"/>
          <w:sz w:val="20"/>
          <w:szCs w:val="20"/>
          <w:u w:val="none"/>
          <w:lang w:val="en-US" w:eastAsia="zh-CN" w:bidi="ar"/>
        </w:rPr>
        <w:t>核定新一轮政策实施面积（2026年调查结果）</w:t>
      </w:r>
    </w:p>
    <w:tbl>
      <w:tblPr>
        <w:tblStyle w:val="5"/>
        <w:tblpPr w:leftFromText="180" w:rightFromText="180" w:vertAnchor="text" w:horzAnchor="page" w:tblpX="1086" w:tblpY="344"/>
        <w:tblOverlap w:val="never"/>
        <w:tblW w:w="1019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"/>
        <w:gridCol w:w="771"/>
        <w:gridCol w:w="760"/>
        <w:gridCol w:w="1075"/>
        <w:gridCol w:w="699"/>
        <w:gridCol w:w="1289"/>
        <w:gridCol w:w="1314"/>
        <w:gridCol w:w="1528"/>
        <w:gridCol w:w="1206"/>
        <w:gridCol w:w="1214"/>
      </w:tblGrid>
      <w:tr w14:paraId="6ADE8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tblHeader/>
        </w:trPr>
        <w:tc>
          <w:tcPr>
            <w:tcW w:w="3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88534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Times New Roman" w:eastAsia="宋体" w:cs="Times New Roman"/>
                <w:b/>
                <w:bCs/>
                <w:color w:val="auto"/>
                <w:spacing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Times New Roman" w:eastAsia="宋体" w:cs="Times New Roman"/>
                <w:b/>
                <w:bCs/>
                <w:color w:val="auto"/>
                <w:spacing w:val="0"/>
                <w:kern w:val="0"/>
                <w:sz w:val="18"/>
                <w:szCs w:val="18"/>
              </w:rPr>
              <w:t>序号</w:t>
            </w:r>
          </w:p>
        </w:tc>
        <w:tc>
          <w:tcPr>
            <w:tcW w:w="7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C4891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Times New Roman" w:eastAsia="宋体" w:cs="Times New Roman"/>
                <w:b/>
                <w:bCs/>
                <w:color w:val="auto"/>
                <w:spacing w:val="0"/>
                <w:kern w:val="0"/>
                <w:sz w:val="18"/>
                <w:szCs w:val="18"/>
              </w:rPr>
            </w:pPr>
            <w:r>
              <w:rPr>
                <w:rFonts w:hint="default" w:ascii="宋体" w:hAnsi="Times New Roman" w:eastAsia="宋体" w:cs="Times New Roman"/>
                <w:b/>
                <w:bCs/>
                <w:color w:val="auto"/>
                <w:spacing w:val="0"/>
                <w:kern w:val="0"/>
                <w:sz w:val="18"/>
                <w:szCs w:val="18"/>
              </w:rPr>
              <w:t>乡</w:t>
            </w:r>
          </w:p>
          <w:p w14:paraId="7932767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Times New Roman" w:eastAsia="宋体" w:cs="Times New Roman"/>
                <w:b/>
                <w:bCs/>
                <w:color w:val="auto"/>
                <w:spacing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Times New Roman" w:eastAsia="宋体" w:cs="Times New Roman"/>
                <w:b/>
                <w:bCs/>
                <w:color w:val="auto"/>
                <w:spacing w:val="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default" w:ascii="宋体" w:hAnsi="Times New Roman" w:eastAsia="宋体" w:cs="Times New Roman"/>
                <w:b/>
                <w:bCs/>
                <w:color w:val="auto"/>
                <w:spacing w:val="0"/>
                <w:kern w:val="0"/>
                <w:sz w:val="18"/>
                <w:szCs w:val="18"/>
              </w:rPr>
              <w:t>镇</w:t>
            </w:r>
            <w:r>
              <w:rPr>
                <w:rFonts w:hint="default" w:ascii="宋体" w:hAnsi="Times New Roman" w:eastAsia="宋体" w:cs="Times New Roman"/>
                <w:b/>
                <w:bCs/>
                <w:color w:val="auto"/>
                <w:spacing w:val="0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default" w:ascii="宋体" w:hAnsi="Times New Roman" w:eastAsia="宋体" w:cs="Times New Roman"/>
                <w:b/>
                <w:bCs/>
                <w:color w:val="auto"/>
                <w:spacing w:val="0"/>
                <w:kern w:val="0"/>
                <w:sz w:val="18"/>
                <w:szCs w:val="18"/>
              </w:rPr>
              <w:t>名称</w:t>
            </w:r>
          </w:p>
        </w:tc>
        <w:tc>
          <w:tcPr>
            <w:tcW w:w="7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150F6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Times New Roman" w:eastAsia="宋体" w:cs="Times New Roman"/>
                <w:b/>
                <w:bCs/>
                <w:color w:val="auto"/>
                <w:spacing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Times New Roman" w:eastAsia="宋体" w:cs="Times New Roman"/>
                <w:b/>
                <w:bCs/>
                <w:color w:val="auto"/>
                <w:spacing w:val="0"/>
                <w:kern w:val="0"/>
                <w:sz w:val="18"/>
                <w:szCs w:val="18"/>
              </w:rPr>
              <w:t>村名称</w:t>
            </w:r>
          </w:p>
        </w:tc>
        <w:tc>
          <w:tcPr>
            <w:tcW w:w="10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FFACA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Times New Roman" w:eastAsia="宋体" w:cs="Times New Roman"/>
                <w:b/>
                <w:bCs/>
                <w:color w:val="auto"/>
                <w:spacing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Times New Roman" w:eastAsia="宋体" w:cs="Times New Roman"/>
                <w:b/>
                <w:bCs/>
                <w:color w:val="auto"/>
                <w:spacing w:val="0"/>
                <w:kern w:val="0"/>
                <w:sz w:val="18"/>
                <w:szCs w:val="18"/>
              </w:rPr>
              <w:t>行政区内可利用草场面积</w:t>
            </w:r>
          </w:p>
        </w:tc>
        <w:tc>
          <w:tcPr>
            <w:tcW w:w="69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472DC0">
            <w:pPr>
              <w:widowControl/>
              <w:spacing w:line="240" w:lineRule="exact"/>
              <w:jc w:val="center"/>
              <w:rPr>
                <w:rFonts w:hint="default" w:ascii="宋体" w:hAnsi="Times New Roman" w:eastAsia="宋体" w:cs="Times New Roman"/>
                <w:b/>
                <w:bCs/>
                <w:color w:val="auto"/>
                <w:spacing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0"/>
                <w:kern w:val="0"/>
                <w:sz w:val="18"/>
                <w:szCs w:val="18"/>
              </w:rPr>
              <w:t>跨乡使用面积</w:t>
            </w:r>
          </w:p>
        </w:tc>
        <w:tc>
          <w:tcPr>
            <w:tcW w:w="12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830E05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pacing w:val="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0"/>
                <w:kern w:val="0"/>
                <w:sz w:val="18"/>
                <w:szCs w:val="18"/>
              </w:rPr>
              <w:t>核定新一轮政策实施面积</w:t>
            </w:r>
          </w:p>
        </w:tc>
        <w:tc>
          <w:tcPr>
            <w:tcW w:w="13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041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0"/>
                <w:sz w:val="18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0"/>
                <w:kern w:val="0"/>
                <w:sz w:val="18"/>
                <w:szCs w:val="18"/>
              </w:rPr>
              <w:t>新一轮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pacing w:val="0"/>
                <w:kern w:val="0"/>
                <w:sz w:val="18"/>
                <w:szCs w:val="18"/>
                <w:lang w:eastAsia="zh-CN"/>
              </w:rPr>
              <w:t>减少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面积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0"/>
                <w:sz w:val="18"/>
                <w:szCs w:val="15"/>
                <w:u w:val="none"/>
                <w:lang w:val="en-US" w:eastAsia="zh-CN" w:bidi="ar"/>
              </w:rPr>
              <w:t>（万亩）</w:t>
            </w:r>
          </w:p>
          <w:p w14:paraId="68DE0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b/>
                <w:bCs/>
                <w:color w:val="auto"/>
                <w:spacing w:val="0"/>
                <w:kern w:val="0"/>
                <w:sz w:val="18"/>
                <w:szCs w:val="18"/>
              </w:rPr>
            </w:pPr>
          </w:p>
        </w:tc>
        <w:tc>
          <w:tcPr>
            <w:tcW w:w="2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5A6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0"/>
                <w:sz w:val="18"/>
                <w:szCs w:val="20"/>
                <w:u w:val="none"/>
                <w:lang w:val="en-US" w:eastAsia="zh-CN" w:bidi="ar"/>
              </w:rPr>
              <w:t>实际承包草场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面积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0"/>
                <w:sz w:val="18"/>
                <w:szCs w:val="16"/>
                <w:u w:val="none"/>
                <w:lang w:val="en-US" w:eastAsia="zh-CN" w:bidi="ar"/>
              </w:rPr>
              <w:t>（万亩）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8A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0"/>
                <w:sz w:val="18"/>
                <w:szCs w:val="20"/>
                <w:u w:val="none"/>
                <w:lang w:val="en-US" w:eastAsia="zh-CN" w:bidi="ar"/>
              </w:rPr>
              <w:t>核定新增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面积</w:t>
            </w:r>
          </w:p>
          <w:p w14:paraId="08AC2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sz w:val="18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0"/>
                <w:sz w:val="18"/>
                <w:szCs w:val="16"/>
                <w:u w:val="none"/>
                <w:lang w:val="en-US" w:eastAsia="zh-CN" w:bidi="ar"/>
              </w:rPr>
              <w:t>（万亩）</w:t>
            </w:r>
          </w:p>
        </w:tc>
      </w:tr>
      <w:tr w14:paraId="71410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tblHeader/>
        </w:trPr>
        <w:tc>
          <w:tcPr>
            <w:tcW w:w="3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809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宋体" w:eastAsia="宋体"/>
                <w:b/>
                <w:sz w:val="18"/>
              </w:rPr>
            </w:pPr>
          </w:p>
        </w:tc>
        <w:tc>
          <w:tcPr>
            <w:tcW w:w="7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4AF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宋体" w:eastAsia="宋体"/>
                <w:b/>
                <w:sz w:val="18"/>
              </w:rPr>
            </w:pPr>
          </w:p>
        </w:tc>
        <w:tc>
          <w:tcPr>
            <w:tcW w:w="7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FFC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宋体" w:eastAsia="宋体"/>
                <w:b/>
                <w:sz w:val="18"/>
              </w:rPr>
            </w:pPr>
          </w:p>
        </w:tc>
        <w:tc>
          <w:tcPr>
            <w:tcW w:w="10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9D2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宋体" w:eastAsia="宋体"/>
                <w:b/>
                <w:sz w:val="18"/>
              </w:rPr>
            </w:pPr>
          </w:p>
        </w:tc>
        <w:tc>
          <w:tcPr>
            <w:tcW w:w="69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3FE36D">
            <w:pPr>
              <w:widowControl/>
              <w:jc w:val="center"/>
              <w:rPr>
                <w:rFonts w:ascii="宋体" w:eastAsia="宋体" w:hAnsiTheme="minorHAnsi" w:cstheme="minorBidi"/>
                <w:b/>
                <w:kern w:val="2"/>
                <w:sz w:val="18"/>
                <w:szCs w:val="24"/>
                <w:lang w:val="en-US" w:eastAsia="zh-CN" w:bidi="ar-SA"/>
              </w:rPr>
            </w:pPr>
          </w:p>
        </w:tc>
        <w:tc>
          <w:tcPr>
            <w:tcW w:w="12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802848">
            <w:pPr>
              <w:widowControl/>
              <w:jc w:val="center"/>
              <w:rPr>
                <w:rFonts w:ascii="宋体" w:eastAsia="宋体"/>
                <w:b/>
                <w:sz w:val="18"/>
              </w:rPr>
            </w:pPr>
          </w:p>
        </w:tc>
        <w:tc>
          <w:tcPr>
            <w:tcW w:w="131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DB7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b/>
                <w:bCs/>
                <w:color w:val="auto"/>
                <w:spacing w:val="0"/>
                <w:kern w:val="0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32F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Times New Roman" w:eastAsia="宋体" w:cs="Times New Roman"/>
                <w:b/>
                <w:bCs/>
                <w:color w:val="auto"/>
                <w:spacing w:val="0"/>
                <w:kern w:val="0"/>
                <w:sz w:val="18"/>
                <w:szCs w:val="18"/>
              </w:rPr>
              <w:t>面积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BA7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Times New Roman" w:eastAsia="宋体" w:cs="Times New Roman"/>
                <w:b/>
                <w:bCs/>
                <w:color w:val="auto"/>
                <w:spacing w:val="0"/>
                <w:kern w:val="0"/>
                <w:sz w:val="18"/>
                <w:szCs w:val="18"/>
              </w:rPr>
              <w:t>涉及牧户</w:t>
            </w:r>
          </w:p>
        </w:tc>
        <w:tc>
          <w:tcPr>
            <w:tcW w:w="121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37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0"/>
                <w:sz w:val="18"/>
                <w:szCs w:val="16"/>
                <w:u w:val="none"/>
                <w:lang w:val="en-US" w:eastAsia="zh-CN" w:bidi="ar"/>
              </w:rPr>
            </w:pPr>
          </w:p>
        </w:tc>
      </w:tr>
      <w:tr w14:paraId="2A516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18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10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仿宋_GB2312" w:cs="宋体"/>
                <w:b/>
                <w:i w:val="0"/>
                <w:iCs w:val="0"/>
                <w:color w:val="000000"/>
                <w:spacing w:val="0"/>
                <w:kern w:val="0"/>
                <w:sz w:val="18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pacing w:val="0"/>
                <w:kern w:val="0"/>
                <w:sz w:val="18"/>
                <w:szCs w:val="18"/>
              </w:rPr>
              <w:t>合计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C6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仿宋_GB2312" w:cs="宋体"/>
                <w:b/>
                <w:i w:val="0"/>
                <w:iCs w:val="0"/>
                <w:color w:val="000000"/>
                <w:spacing w:val="0"/>
                <w:kern w:val="0"/>
                <w:sz w:val="18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pacing w:val="0"/>
                <w:kern w:val="0"/>
                <w:sz w:val="18"/>
                <w:szCs w:val="18"/>
              </w:rPr>
              <w:t>3051.58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7A0C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pacing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pacing w:val="0"/>
                <w:kern w:val="0"/>
                <w:sz w:val="18"/>
                <w:szCs w:val="18"/>
              </w:rPr>
              <w:t>41.4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10C6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pacing w:val="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pacing w:val="0"/>
                <w:kern w:val="0"/>
                <w:sz w:val="18"/>
                <w:szCs w:val="18"/>
              </w:rPr>
              <w:t>1694.7517329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66D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宋体" w:eastAsia="仿宋_GB2312" w:cs="宋体"/>
                <w:b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162.69538369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DC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  <w:t>1675.34694168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6E9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宋体" w:eastAsia="仿宋_GB2312" w:cs="宋体"/>
                <w:b/>
                <w:i w:val="0"/>
                <w:iCs w:val="0"/>
                <w:color w:val="000000"/>
                <w:kern w:val="0"/>
                <w:sz w:val="18"/>
                <w:szCs w:val="22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Times New Roman" w:hAnsi="宋体" w:eastAsia="仿宋_GB2312" w:cs="宋体"/>
                <w:b/>
                <w:i w:val="0"/>
                <w:iCs w:val="0"/>
                <w:color w:val="000000"/>
                <w:kern w:val="0"/>
                <w:sz w:val="18"/>
                <w:szCs w:val="22"/>
                <w:highlight w:val="yellow"/>
                <w:u w:val="none"/>
                <w:lang w:val="en-US" w:eastAsia="zh-CN" w:bidi="ar"/>
              </w:rPr>
              <w:t>1059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6B5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仿宋_GB2312" w:cs="宋体"/>
                <w:b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宋体" w:eastAsia="仿宋_GB2312" w:cs="宋体"/>
                <w:b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13.7063</w:t>
            </w:r>
          </w:p>
        </w:tc>
      </w:tr>
      <w:tr w14:paraId="53B94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CDF2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21"/>
              </w:rPr>
              <w:t>1</w:t>
            </w: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0209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</w:rPr>
              <w:t>铁干里克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eastAsia="zh-CN"/>
              </w:rPr>
              <w:t>镇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981D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</w:rPr>
              <w:t>英苏牧业村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41A2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宋体" w:eastAsia="仿宋_GB2312" w:cs="宋体"/>
                <w:i w:val="0"/>
                <w:iCs w:val="0"/>
                <w:color w:val="000000"/>
                <w:spacing w:val="0"/>
                <w:kern w:val="0"/>
                <w:sz w:val="18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</w:rPr>
              <w:t>282.334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  <w:t>46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B03E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</w:rPr>
              <w:t>41.4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EA85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  <w:t>303.4308152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66F9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  <w:t>20.3131848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22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  <w:t>303.4308113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872B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highlight w:val="yellow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highlight w:val="yellow"/>
                <w:lang w:val="en-US" w:eastAsia="zh-CN" w:bidi="ar-SA"/>
              </w:rPr>
              <w:t>171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58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0.0000039</w:t>
            </w:r>
          </w:p>
        </w:tc>
      </w:tr>
      <w:tr w14:paraId="051EB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1063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b/>
                <w:color w:val="auto"/>
                <w:spacing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21"/>
              </w:rPr>
              <w:t>2</w:t>
            </w:r>
          </w:p>
        </w:tc>
        <w:tc>
          <w:tcPr>
            <w:tcW w:w="77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FEAD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b/>
                <w:color w:val="auto"/>
                <w:spacing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</w:rPr>
              <w:t>吾塔木乡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5362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宋体" w:eastAsia="仿宋_GB2312" w:cs="宋体"/>
                <w:i w:val="0"/>
                <w:iCs w:val="0"/>
                <w:color w:val="000000"/>
                <w:spacing w:val="0"/>
                <w:kern w:val="0"/>
                <w:sz w:val="18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</w:rPr>
              <w:t>牧业村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E9CD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宋体" w:eastAsia="仿宋_GB2312" w:cs="宋体"/>
                <w:i w:val="0"/>
                <w:iCs w:val="0"/>
                <w:color w:val="000000"/>
                <w:spacing w:val="0"/>
                <w:kern w:val="0"/>
                <w:sz w:val="18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</w:rPr>
              <w:t>334.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  <w:t>492971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2CC04"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  <w:t>41.4</w:t>
            </w:r>
          </w:p>
        </w:tc>
        <w:tc>
          <w:tcPr>
            <w:tcW w:w="128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C315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  <w:t>405.2011148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B6C5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  <w:t>25.3283252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CC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  <w:t>246.6187317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1429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highlight w:val="yellow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highlight w:val="yellow"/>
                <w:lang w:val="en-US" w:eastAsia="zh-CN" w:bidi="ar-SA"/>
              </w:rPr>
              <w:t>164</w:t>
            </w:r>
          </w:p>
        </w:tc>
        <w:tc>
          <w:tcPr>
            <w:tcW w:w="121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4651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  <w:t>2.54275472</w:t>
            </w:r>
          </w:p>
        </w:tc>
      </w:tr>
      <w:tr w14:paraId="27F37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162C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21"/>
              </w:rPr>
              <w:t>3</w:t>
            </w:r>
          </w:p>
        </w:tc>
        <w:tc>
          <w:tcPr>
            <w:tcW w:w="77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CE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8199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</w:rPr>
              <w:t>昆其村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23FB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</w:rPr>
              <w:t>397.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  <w:t>119988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F1A8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</w:rPr>
              <w:t>0</w:t>
            </w:r>
          </w:p>
        </w:tc>
        <w:tc>
          <w:tcPr>
            <w:tcW w:w="128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FEF2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23BD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  <w:t>13.83856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71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  <w:t>156.0396284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B152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highlight w:val="yellow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highlight w:val="yellow"/>
                <w:lang w:val="en-US" w:eastAsia="zh-CN" w:bidi="ar-SA"/>
              </w:rPr>
              <w:t>93</w:t>
            </w:r>
          </w:p>
        </w:tc>
        <w:tc>
          <w:tcPr>
            <w:tcW w:w="121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B991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</w:pPr>
          </w:p>
        </w:tc>
      </w:tr>
      <w:tr w14:paraId="36987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9996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21"/>
              </w:rPr>
              <w:t>4</w:t>
            </w: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6346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</w:rPr>
              <w:t>瓦石峡镇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2394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</w:rPr>
              <w:t>牧业村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ABC3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</w:rPr>
              <w:t>733.68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  <w:t>496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4F4BC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</w:rPr>
              <w:t>0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2D73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  <w:t>370.1570712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B272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  <w:t>39.3069288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F306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  <w:t xml:space="preserve">363.375072 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812A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highlight w:val="yellow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highlight w:val="yellow"/>
                <w:lang w:val="en-US" w:eastAsia="zh-CN" w:bidi="ar-SA"/>
              </w:rPr>
              <w:t>245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E16F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  <w:t>6.7819992</w:t>
            </w:r>
          </w:p>
        </w:tc>
      </w:tr>
      <w:tr w14:paraId="4BFEA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E9FC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21"/>
              </w:rPr>
              <w:t>5</w:t>
            </w: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169D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宋体" w:eastAsia="仿宋_GB2312" w:cs="宋体"/>
                <w:i w:val="0"/>
                <w:iCs w:val="0"/>
                <w:color w:val="000000"/>
                <w:spacing w:val="0"/>
                <w:kern w:val="0"/>
                <w:sz w:val="18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</w:rPr>
              <w:t>铁木里克乡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8CF7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</w:rPr>
              <w:t>铁木里克村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A19D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</w:rPr>
              <w:t>604.3129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3BF6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</w:rPr>
              <w:t>0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AF73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  <w:t>356.8584176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0E7D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  <w:t>32.81758226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D8EB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  <w:t xml:space="preserve">356.4427843 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BE9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highlight w:val="yellow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highlight w:val="yellow"/>
                <w:lang w:val="en-US" w:eastAsia="zh-CN" w:bidi="ar-SA"/>
              </w:rPr>
              <w:t>218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352D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  <w:t>0.4156334</w:t>
            </w:r>
          </w:p>
        </w:tc>
      </w:tr>
      <w:tr w14:paraId="3B388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D155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21"/>
              </w:rPr>
              <w:t>6</w:t>
            </w: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60EA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</w:rPr>
              <w:t>祁曼塔格乡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C4F3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</w:rPr>
              <w:t>祁曼塔格村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A493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</w:rPr>
              <w:t>699.634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  <w:t>691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6E862"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27A4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  <w:t>259.104314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14B3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  <w:t>24.727686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5644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  <w:t xml:space="preserve">249.439914 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6B9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highlight w:val="yellow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highlight w:val="yellow"/>
                <w:lang w:val="en-US" w:eastAsia="zh-CN" w:bidi="ar-SA"/>
              </w:rPr>
              <w:t>168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1944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  <w:t>9.6644</w:t>
            </w:r>
          </w:p>
        </w:tc>
      </w:tr>
    </w:tbl>
    <w:p w14:paraId="21D1438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jc w:val="left"/>
        <w:textAlignment w:val="auto"/>
        <w:rPr>
          <w:rFonts w:hint="default" w:ascii="方正楷体_GBK" w:hAnsi="方正楷体_GBK" w:eastAsia="方正楷体_GBK" w:cs="方正楷体_GBK"/>
          <w:spacing w:val="0"/>
          <w:sz w:val="32"/>
          <w:szCs w:val="32"/>
        </w:rPr>
      </w:pPr>
      <w:r>
        <w:rPr>
          <w:rFonts w:hint="default" w:ascii="方正楷体_GBK" w:hAnsi="方正楷体_GBK" w:eastAsia="方正楷体_GBK" w:cs="方正楷体_GBK"/>
          <w:spacing w:val="0"/>
          <w:sz w:val="32"/>
          <w:szCs w:val="32"/>
        </w:rPr>
        <w:t>补奖标准（执行自治区统一标准）</w:t>
      </w:r>
    </w:p>
    <w:p w14:paraId="600CB3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pacing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（一）</w:t>
      </w:r>
      <w:r>
        <w:rPr>
          <w:rFonts w:hint="default" w:ascii="Times New Roman" w:hAnsi="Times New Roman" w:eastAsia="方正仿宋_GBK" w:cs="Times New Roman"/>
          <w:b/>
          <w:bCs/>
          <w:spacing w:val="0"/>
          <w:sz w:val="32"/>
          <w:szCs w:val="32"/>
        </w:rPr>
        <w:t>禁牧补助</w:t>
      </w:r>
      <w:r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每亩测算标准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6.81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元</w:t>
      </w:r>
      <w:r>
        <w:t>/亩/年</w:t>
      </w:r>
    </w:p>
    <w:p w14:paraId="67AB7D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hint="default" w:ascii="Times New Roman" w:hAnsi="Times New Roman" w:eastAsia="方正仿宋_GBK" w:cs="Times New Roman"/>
          <w:spacing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方正仿宋_GBK" w:cs="Times New Roman"/>
          <w:b/>
          <w:bCs/>
          <w:spacing w:val="0"/>
          <w:sz w:val="32"/>
          <w:szCs w:val="32"/>
        </w:rPr>
        <w:t>水源涵养区禁牧补助</w:t>
      </w:r>
      <w:r>
        <w:t>：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50元/亩/年</w:t>
      </w:r>
    </w:p>
    <w:p w14:paraId="535482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hint="default" w:ascii="Times New Roman" w:hAnsi="Times New Roman" w:eastAsia="方正仿宋_GBK" w:cs="Times New Roman"/>
          <w:spacing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bCs/>
          <w:spacing w:val="0"/>
          <w:kern w:val="2"/>
          <w:sz w:val="32"/>
          <w:szCs w:val="32"/>
          <w:lang w:val="en-US" w:eastAsia="zh-CN" w:bidi="ar-SA"/>
        </w:rPr>
        <w:t>（三）</w:t>
      </w:r>
      <w:r>
        <w:rPr>
          <w:rFonts w:hint="default" w:ascii="Times New Roman" w:hAnsi="Times New Roman" w:eastAsia="方正仿宋_GBK" w:cs="Times New Roman"/>
          <w:b/>
          <w:bCs/>
          <w:spacing w:val="0"/>
          <w:sz w:val="32"/>
          <w:szCs w:val="32"/>
        </w:rPr>
        <w:t>草畜平衡奖励</w:t>
      </w:r>
      <w:r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每亩测算标准2.75元</w:t>
      </w:r>
      <w:r>
        <w:t>/亩/年</w:t>
      </w:r>
    </w:p>
    <w:p w14:paraId="4A3AB9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hint="default" w:ascii="Times New Roman" w:hAnsi="Times New Roman" w:eastAsia="方正仿宋_GBK" w:cs="Times New Roman"/>
          <w:spacing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bCs/>
          <w:spacing w:val="0"/>
          <w:kern w:val="2"/>
          <w:sz w:val="32"/>
          <w:szCs w:val="32"/>
          <w:lang w:val="en-US" w:eastAsia="zh-CN" w:bidi="ar-SA"/>
        </w:rPr>
        <w:t>（四）</w:t>
      </w:r>
      <w:r>
        <w:rPr>
          <w:rFonts w:hint="default" w:ascii="Times New Roman" w:hAnsi="Times New Roman" w:eastAsia="方正仿宋_GBK" w:cs="Times New Roman"/>
          <w:b/>
          <w:bCs/>
          <w:spacing w:val="0"/>
          <w:sz w:val="32"/>
          <w:szCs w:val="32"/>
        </w:rPr>
        <w:t>封顶管控：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单户年度补奖资金最高不超过9万元，防止“垒大户”，超出部分不予核发。</w:t>
      </w:r>
    </w:p>
    <w:p w14:paraId="0F21F8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jc w:val="left"/>
        <w:textAlignment w:val="auto"/>
        <w:rPr>
          <w:rFonts w:hint="default" w:ascii="方正楷体_GBK" w:hAnsi="方正楷体_GBK" w:eastAsia="方正楷体_GBK" w:cs="方正楷体_GBK"/>
          <w:spacing w:val="0"/>
          <w:sz w:val="32"/>
          <w:szCs w:val="32"/>
        </w:rPr>
      </w:pPr>
      <w:r>
        <w:rPr>
          <w:rFonts w:hint="default" w:ascii="方正楷体_GBK" w:hAnsi="方正楷体_GBK" w:eastAsia="方正楷体_GBK" w:cs="方正楷体_GBK"/>
          <w:spacing w:val="0"/>
          <w:sz w:val="32"/>
          <w:szCs w:val="32"/>
        </w:rPr>
        <w:t>三、资金发放时限</w:t>
      </w:r>
    </w:p>
    <w:p w14:paraId="32ADF9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2026年9月30日前将补奖资金发放到位前全部发放到位；2027—2030年度</w:t>
      </w:r>
      <w:r>
        <w:rPr>
          <w:rFonts w:hint="eastAsia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每年6月30日前，县财政局通过惠民惠农“一卡通”足额拨付到户。</w:t>
      </w:r>
    </w:p>
    <w:p w14:paraId="54BB3D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/>
        <w:jc w:val="center"/>
        <w:textAlignment w:val="auto"/>
        <w:rPr>
          <w:rFonts w:hint="eastAsia" w:ascii="Arial" w:eastAsia="方正黑体_GBK"/>
          <w:spacing w:val="0"/>
          <w:sz w:val="21"/>
          <w:lang w:eastAsia="zh-CN"/>
        </w:rPr>
      </w:pPr>
      <w:r>
        <w:rPr>
          <w:rFonts w:hint="default" w:ascii="方正黑体_GBK" w:hAnsi="方正黑体_GBK" w:eastAsia="方正黑体_GBK" w:cs="方正黑体_GBK"/>
          <w:spacing w:val="0"/>
          <w:sz w:val="32"/>
          <w:szCs w:val="32"/>
        </w:rPr>
        <w:t>第四章 资金发放</w:t>
      </w:r>
      <w:r>
        <w:rPr>
          <w:rFonts w:hint="eastAsia" w:ascii="方正黑体_GBK" w:hAnsi="方正黑体_GBK" w:eastAsia="方正黑体_GBK" w:cs="方正黑体_GBK"/>
          <w:spacing w:val="0"/>
          <w:sz w:val="32"/>
          <w:szCs w:val="32"/>
          <w:lang w:eastAsia="zh-CN"/>
        </w:rPr>
        <w:t>程序</w:t>
      </w:r>
    </w:p>
    <w:p w14:paraId="6218B9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jc w:val="left"/>
        <w:textAlignment w:val="auto"/>
        <w:rPr>
          <w:rFonts w:hint="default" w:ascii="方正楷体_GBK" w:hAnsi="方正楷体_GBK" w:eastAsia="方正楷体_GBK" w:cs="方正楷体_GBK"/>
          <w:spacing w:val="0"/>
          <w:sz w:val="32"/>
          <w:szCs w:val="32"/>
        </w:rPr>
      </w:pPr>
      <w:r>
        <w:rPr>
          <w:rFonts w:hint="default" w:ascii="方正楷体_GBK" w:hAnsi="方正楷体_GBK" w:eastAsia="方正楷体_GBK" w:cs="方正楷体_GBK"/>
          <w:spacing w:val="0"/>
          <w:sz w:val="32"/>
          <w:szCs w:val="32"/>
        </w:rPr>
        <w:t>一、农牧户发放程序</w:t>
      </w:r>
    </w:p>
    <w:p w14:paraId="4FA29B6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700"/>
        <w:jc w:val="both"/>
        <w:textAlignment w:val="auto"/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每年1</w:t>
      </w:r>
      <w:r>
        <w:rPr>
          <w:rFonts w:hint="eastAsia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-</w:t>
      </w: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3月份，由乡镇人民政府组织各行政村委会开展入户调查→以户为单位编制花名册→村级公示(时间不少于5个工作日)→公示无异议后上报所在乡镇人民政府→4月30日前，乡镇人民政府完成审核，并进行乡镇级公示(时间不少于5个工作日)→公示无异议后上报县级农业农村、林业和草原(自然资源)部门→5月30日前，县级农业农村部门完成对农牧户信息、牲畜存栏量等信息</w:t>
      </w:r>
      <w:r>
        <w:rPr>
          <w:rFonts w:hint="eastAsia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复</w:t>
      </w: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核，林业和草原(自然资源)部门完成对草原面积、核定载畜量、禁牧草畜平衡责任落实等信息</w:t>
      </w:r>
      <w:r>
        <w:rPr>
          <w:rFonts w:hint="eastAsia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复</w:t>
      </w: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核→</w:t>
      </w:r>
      <w:r>
        <w:rPr>
          <w:rFonts w:hint="eastAsia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复</w:t>
      </w: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核通过后提交财政部门审定，6月1日至6月30日，县级财政部门通过惠民惠农“一卡通”系统将资金发放到户→乡 (镇)人民政府在资金发放到户后15个工作日内完成草原补奖政策管理信息系统录入工作。</w:t>
      </w:r>
    </w:p>
    <w:p w14:paraId="514BC2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jc w:val="left"/>
        <w:textAlignment w:val="auto"/>
        <w:rPr>
          <w:rFonts w:hint="default" w:ascii="方正楷体_GBK" w:hAnsi="方正楷体_GBK" w:eastAsia="方正楷体_GBK" w:cs="方正楷体_GBK"/>
          <w:spacing w:val="0"/>
          <w:sz w:val="32"/>
          <w:szCs w:val="32"/>
        </w:rPr>
      </w:pPr>
      <w:r>
        <w:rPr>
          <w:rFonts w:hint="default" w:ascii="方正楷体_GBK" w:hAnsi="方正楷体_GBK" w:eastAsia="方正楷体_GBK" w:cs="方正楷体_GBK"/>
          <w:spacing w:val="0"/>
          <w:sz w:val="32"/>
          <w:szCs w:val="32"/>
        </w:rPr>
        <w:t>二、国有农林牧渔场(企业)以及其他符合条件的主体发放程序</w:t>
      </w:r>
    </w:p>
    <w:p w14:paraId="24C49F2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3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spacing w:val="0"/>
          <w:kern w:val="2"/>
          <w:sz w:val="32"/>
          <w:szCs w:val="32"/>
          <w:lang w:val="en-US" w:eastAsia="zh-CN" w:bidi="ar-SA"/>
        </w:rPr>
        <w:t>（一）</w:t>
      </w:r>
      <w:r>
        <w:rPr>
          <w:rFonts w:hint="default" w:ascii="Times New Roman" w:hAnsi="Times New Roman" w:eastAsia="方正仿宋_GBK" w:cs="Times New Roman"/>
          <w:b/>
          <w:bCs/>
          <w:spacing w:val="0"/>
          <w:kern w:val="2"/>
          <w:sz w:val="32"/>
          <w:szCs w:val="32"/>
          <w:lang w:val="en-US" w:eastAsia="zh-CN" w:bidi="ar-SA"/>
        </w:rPr>
        <w:t>集体使用的草原承包到户或联户承包的，</w:t>
      </w: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每年1</w:t>
      </w:r>
      <w:r>
        <w:rPr>
          <w:rFonts w:hint="eastAsia" w:ascii="Times New Roman" w:hAnsi="Times New Roman"/>
          <w:color w:val="auto"/>
        </w:rPr>
        <w:t>-</w:t>
      </w: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3月份，由法人单位组织开展入户调查→以户为单位编制花名册→在单位公示(时间不少于5个工作日) →公示无异议后上报县级农业农村、林业和草原(自然资源)部门→4月30日前，县级农业农村部门对农牧户信息、牲畜存栏量等进行</w:t>
      </w:r>
      <w:r>
        <w:rPr>
          <w:rFonts w:hint="eastAsia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复</w:t>
      </w: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核，林业和草原(自然资源)部门对草原面积、核定载畜量、禁牧草畜平衡责任落实等信息进行</w:t>
      </w:r>
      <w:r>
        <w:rPr>
          <w:rFonts w:hint="eastAsia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复</w:t>
      </w: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核→</w:t>
      </w:r>
      <w:r>
        <w:rPr>
          <w:rFonts w:hint="eastAsia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复</w:t>
      </w: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核通过后提交县级财政部门审定，6月30日前，县级财政部门按照</w:t>
      </w:r>
      <w:r>
        <w:rPr>
          <w:rFonts w:hint="eastAsia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复核通</w:t>
      </w: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过的花名册，通过惠民惠农“一卡通”系统将补奖资金发放到户→法人单位在资金发放到户后15个工作日内完成草原补奖政策管理信息系统录入工作。</w:t>
      </w:r>
    </w:p>
    <w:p w14:paraId="373C1B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3" w:firstLineChars="200"/>
        <w:textAlignment w:val="auto"/>
        <w:rPr>
          <w:rFonts w:hint="eastAsia" w:ascii="Times New Roman" w:hAnsi="Times New Roman" w:eastAsia="方正仿宋_GBK" w:cs="Times New Roman"/>
          <w:b/>
          <w:bCs/>
          <w:spacing w:val="0"/>
          <w:kern w:val="2"/>
          <w:sz w:val="32"/>
          <w:szCs w:val="32"/>
          <w:lang w:val="en-US" w:eastAsia="zh-CN" w:bidi="ar-SA"/>
        </w:rPr>
      </w:pPr>
    </w:p>
    <w:p w14:paraId="794B9F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3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spacing w:val="0"/>
          <w:kern w:val="2"/>
          <w:sz w:val="32"/>
          <w:szCs w:val="32"/>
          <w:lang w:val="en-US" w:eastAsia="zh-CN" w:bidi="ar-SA"/>
        </w:rPr>
        <w:t>（二）</w:t>
      </w:r>
      <w:r>
        <w:rPr>
          <w:rFonts w:hint="default" w:ascii="Times New Roman" w:hAnsi="Times New Roman" w:eastAsia="方正仿宋_GBK" w:cs="Times New Roman"/>
          <w:b/>
          <w:bCs/>
          <w:spacing w:val="0"/>
          <w:kern w:val="2"/>
          <w:sz w:val="32"/>
          <w:szCs w:val="32"/>
          <w:lang w:val="en-US" w:eastAsia="zh-CN" w:bidi="ar-SA"/>
        </w:rPr>
        <w:t>集体使用的草原未承包到户的，</w:t>
      </w: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每年1</w:t>
      </w:r>
      <w:r>
        <w:rPr>
          <w:rFonts w:hint="eastAsia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-</w:t>
      </w: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3月份，由法人单位制定资金使用方案，经村民(职工)代表大会审议通过后→单位公示(时间不少于5个工作日) →公示无异议后上报县农业农村、林业和草原(自然资源)部门→4月30日前，县级农业农村部门会同林业和草原(自然资源)部门</w:t>
      </w:r>
      <w:r>
        <w:rPr>
          <w:rFonts w:hint="eastAsia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复</w:t>
      </w: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核→</w:t>
      </w:r>
      <w:r>
        <w:rPr>
          <w:rFonts w:hint="eastAsia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复</w:t>
      </w: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核后提交县级财政部门审定，6月30日前，</w:t>
      </w:r>
      <w:r>
        <w:rPr>
          <w:rFonts w:hint="eastAsia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由县级财政部门通过惠民惠农“一卡通”系统将资金打入对公账户，</w:t>
      </w: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资金到账后15个工作日内由法人单位完成草原补奖政策管理信息系统录入→法人单位编制细化年度草原补奖实施方案→报所在县农业农村、财政和林业和草原(自然资源)部门审核批复后实施→资金实行项目化管理，统筹用于草原畜牧业发展→建设完成后报所在县农业农村、财政和林草部门联合验收。</w:t>
      </w:r>
    </w:p>
    <w:p w14:paraId="06D24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黑体_GBK" w:hAnsi="方正黑体_GBK" w:eastAsia="方正黑体_GBK" w:cs="方正黑体_GBK"/>
          <w:spacing w:val="0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spacing w:val="0"/>
          <w:sz w:val="32"/>
          <w:szCs w:val="32"/>
        </w:rPr>
        <w:t xml:space="preserve">第五章 </w:t>
      </w:r>
      <w:r>
        <w:rPr>
          <w:rFonts w:hint="eastAsia" w:ascii="方正黑体_GBK" w:hAnsi="方正黑体_GBK" w:eastAsia="方正黑体_GBK" w:cs="方正黑体_GBK"/>
          <w:spacing w:val="0"/>
          <w:sz w:val="32"/>
          <w:szCs w:val="32"/>
          <w:lang w:val="en-US" w:eastAsia="zh-CN"/>
        </w:rPr>
        <w:t>享受人员范围管理规定</w:t>
      </w:r>
    </w:p>
    <w:p w14:paraId="7A9DE2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u w:val="none"/>
          <w:rtl w:val="0"/>
          <w:lang w:val="en-US" w:eastAsia="zh-CN" w:bidi="ar-SA"/>
        </w:rPr>
        <w:t>以下人员符合享受草补政策（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享受草原生态保护补助奖励政策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（以下简称为草补）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人员范围</w:t>
      </w: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u w:val="none"/>
          <w:rtl w:val="0"/>
          <w:lang w:val="en-US" w:eastAsia="zh-CN" w:bidi="ar-SA"/>
        </w:rPr>
        <w:t>）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同时符合基础条件及对应情形的农牧民，可按规定申领草补资金：</w:t>
      </w:r>
    </w:p>
    <w:p w14:paraId="5BA230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第一条 同时符合以下条件的牧民：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具有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若羌县户籍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，持有草场承包经营权证，与乡镇人民政府签订草畜平衡责任书，并切实履行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草畜平衡管护义务。</w:t>
      </w:r>
    </w:p>
    <w:p w14:paraId="2595A2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 xml:space="preserve">第二条 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草补面积以第四轮林草部门核定的承包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草场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面积为基准，补助标准为2.75元/亩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46A166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 xml:space="preserve">第三条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草场承包人去世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其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配偶、子女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（须为同一家庭户成员）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内符合条件的配偶、子女，签订草畜平衡责任书并履行草畜平衡义务的，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可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继续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享受补贴。</w:t>
      </w:r>
    </w:p>
    <w:p w14:paraId="02F40F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 xml:space="preserve">第四条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草场承包人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因涉嫌犯罪被采取实行强制措施或服刑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，其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同一家庭户成员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代为履行草畜平衡管护义务的，可正常享受补贴。</w:t>
      </w:r>
    </w:p>
    <w:p w14:paraId="012004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 xml:space="preserve">第五条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本人或配偶在第三轮草补实施期间，因转为财政供养人员被取消补贴资格，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其后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辞职、解聘恢复牧民身份，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并重新取得草场承包证，且和乡镇人民政府签订草畜平衡责任书、履行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草畜平衡管护义务的。</w:t>
      </w:r>
    </w:p>
    <w:p w14:paraId="68C374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kern w:val="2"/>
          <w:sz w:val="32"/>
          <w:szCs w:val="32"/>
          <w:u w:val="none"/>
          <w:rtl w:val="0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u w:val="none"/>
          <w:rtl w:val="0"/>
          <w:lang w:val="en-US" w:eastAsia="zh-CN" w:bidi="ar-SA"/>
        </w:rPr>
        <w:t>以下人员不能享受草补政策（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不得享受草补政策人员情形</w:t>
      </w: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u w:val="none"/>
          <w:rtl w:val="0"/>
          <w:lang w:val="en-US" w:eastAsia="zh-CN" w:bidi="ar-SA"/>
        </w:rPr>
        <w:t>）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存在以下任意情形人员，取消本年度草原补助奖励申领资格：</w:t>
      </w:r>
    </w:p>
    <w:p w14:paraId="4FD00D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 xml:space="preserve">第七条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本人属于公职人员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公务员、事业编制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人员），其户口中家属非集体经济组织成员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29E371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 xml:space="preserve">第八条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未落实草原生态保护责任，存在超载放牧、损毁草原原生植被等违规行为的牧民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，取消本年度申领资格。具体认定标准有乡镇人民政府会同林草部门依法确定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0581DB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 xml:space="preserve">第九条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牧民离婚后，草场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承包经营权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及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草补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资金按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人民法院生效裁判或双方达成的协议进行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分割，离婚双方均不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得因离婚而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重新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申请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分配新增草场承包面积。</w:t>
      </w:r>
    </w:p>
    <w:p w14:paraId="297394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 xml:space="preserve">第十条 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临时征占用草场，征占用期间不予发放补奖资金，待征占用完成并恢复植被原样、验收通过后，再予发放资金。长期征占用草场的，不予发放补奖资金。</w:t>
      </w:r>
    </w:p>
    <w:p w14:paraId="0C412B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/>
        <w:jc w:val="center"/>
        <w:textAlignment w:val="auto"/>
        <w:rPr>
          <w:rFonts w:hint="default" w:ascii="方正黑体_GBK" w:hAnsi="方正黑体_GBK" w:eastAsia="方正黑体_GBK" w:cs="方正黑体_GBK"/>
          <w:spacing w:val="0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spacing w:val="0"/>
          <w:sz w:val="32"/>
          <w:szCs w:val="32"/>
        </w:rPr>
        <w:t>第六章 工作职责分工</w:t>
      </w:r>
    </w:p>
    <w:p w14:paraId="589AF6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jc w:val="left"/>
        <w:textAlignment w:val="auto"/>
        <w:rPr>
          <w:rFonts w:hint="default" w:ascii="方正楷体_GBK" w:hAnsi="方正楷体_GBK" w:eastAsia="方正楷体_GBK" w:cs="方正楷体_GBK"/>
          <w:spacing w:val="0"/>
          <w:sz w:val="32"/>
          <w:szCs w:val="32"/>
        </w:rPr>
      </w:pPr>
      <w:r>
        <w:rPr>
          <w:rFonts w:hint="default" w:ascii="方正楷体_GBK" w:hAnsi="方正楷体_GBK" w:eastAsia="方正楷体_GBK" w:cs="方正楷体_GBK"/>
          <w:spacing w:val="0"/>
          <w:sz w:val="32"/>
          <w:szCs w:val="32"/>
        </w:rPr>
        <w:t>一、县人民政府</w:t>
      </w:r>
    </w:p>
    <w:p w14:paraId="782BA9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3" w:firstLineChars="200"/>
        <w:jc w:val="left"/>
        <w:textAlignment w:val="auto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lang w:eastAsia="zh-CN"/>
        </w:rPr>
        <w:t>（一）统筹总体实施。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对全县第四轮草原生态保护补助奖励政策实施工作负总责，全面统筹政策落地、任务分解、制度建设和督导落实工作，确保严格执行自治区统一政策标准，实现政策大稳定、小调整。</w:t>
      </w:r>
    </w:p>
    <w:p w14:paraId="5B529E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3" w:firstLineChars="200"/>
        <w:jc w:val="left"/>
        <w:textAlignment w:val="auto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lang w:eastAsia="zh-CN"/>
        </w:rPr>
        <w:t>（二）统筹协同推进。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统筹农业农村、林草、财政及各乡镇协同履职，建立部门联动工作机制，及时协调解决草原区域调整、面积争议、资金发放、违规惩戒、产业转型等重点难点问题。</w:t>
      </w:r>
    </w:p>
    <w:p w14:paraId="488F80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3" w:firstLineChars="200"/>
        <w:jc w:val="left"/>
        <w:textAlignment w:val="auto"/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lang w:eastAsia="zh-CN"/>
        </w:rPr>
        <w:t>（三）强化要素保障。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统筹保障工作力量、业务经费、技术支撑等必要工作条件，保障草原监测、入户核查、政策宣传、系统运维、绩效评价等工作有序开展。</w:t>
      </w:r>
    </w:p>
    <w:p w14:paraId="5A4E97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3" w:firstLineChars="200"/>
        <w:jc w:val="left"/>
        <w:textAlignment w:val="auto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lang w:eastAsia="zh-CN"/>
        </w:rPr>
        <w:t>（四）严格督导考核。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对各乡镇、各成员单位政策落实、禁牧草畜平衡执行、资金规范管理、畜牧业转型成效开展全过程督导检查、绩效考核，压实各级工作责任。</w:t>
      </w:r>
    </w:p>
    <w:p w14:paraId="066A74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jc w:val="left"/>
        <w:textAlignment w:val="auto"/>
        <w:rPr>
          <w:rFonts w:hint="default" w:ascii="方正楷体_GBK" w:hAnsi="方正楷体_GBK" w:eastAsia="方正楷体_GBK" w:cs="方正楷体_GBK"/>
          <w:spacing w:val="0"/>
          <w:sz w:val="32"/>
          <w:szCs w:val="32"/>
        </w:rPr>
      </w:pPr>
      <w:r>
        <w:rPr>
          <w:rFonts w:hint="default" w:ascii="方正楷体_GBK" w:hAnsi="方正楷体_GBK" w:eastAsia="方正楷体_GBK" w:cs="方正楷体_GBK"/>
          <w:spacing w:val="0"/>
          <w:sz w:val="32"/>
          <w:szCs w:val="32"/>
        </w:rPr>
        <w:t>二、乡镇人民政府</w:t>
      </w:r>
    </w:p>
    <w:p w14:paraId="74D5F0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3" w:firstLineChars="200"/>
        <w:jc w:val="left"/>
        <w:textAlignment w:val="auto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lang w:eastAsia="zh-CN"/>
        </w:rPr>
        <w:t>（一）逐户摸排建档公示。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按照县级统一部署，组织各村逐户开展信息摸排、登记造册，完善牧户一户一档资料；严格落实村级公示制度，公示期不少于5个工作日，确保牧户信息、草场面积、牲畜数量、补助金额真实准确、公开透明，公示无异议后汇总上报县级部门审核。</w:t>
      </w:r>
    </w:p>
    <w:p w14:paraId="7225F1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3" w:firstLineChars="200"/>
        <w:jc w:val="left"/>
        <w:textAlignment w:val="auto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lang w:eastAsia="zh-CN"/>
        </w:rPr>
        <w:t>（二）常态化放牧巡查监管。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落实辖区草原日常巡查主体责任，常态化开展禁牧区、草畜平衡区巡查，及时发现、劝阻、制止偷牧、超载放牧等违规行为，配合县级部门开展核查、整改及违规处置工作。</w:t>
      </w:r>
    </w:p>
    <w:p w14:paraId="158C27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3" w:firstLineChars="200"/>
        <w:jc w:val="left"/>
        <w:textAlignment w:val="auto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lang w:eastAsia="zh-CN"/>
        </w:rPr>
        <w:t>（三）抓实现场落地管理。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负责辖区牲畜季节性有序转场组织、放牧畜群数量现场核实、草原管护标识标牌日常管护，常态化落实草畜平衡现场管控措施。</w:t>
      </w:r>
    </w:p>
    <w:p w14:paraId="148742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3" w:firstLineChars="200"/>
        <w:jc w:val="left"/>
        <w:textAlignment w:val="auto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lang w:eastAsia="zh-CN"/>
        </w:rPr>
        <w:t>（四）推广科学养殖与饲草储备。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宣传普及良种改良、高效育肥、冷季舍饲等技术，引导牧民落实暖季放牧、冷季舍饲模式，按标准足额储备越冬饲草料，切实减轻天然草场放牧压力。</w:t>
      </w:r>
    </w:p>
    <w:p w14:paraId="503851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3" w:firstLineChars="200"/>
        <w:jc w:val="left"/>
        <w:textAlignment w:val="auto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lang w:eastAsia="zh-CN"/>
        </w:rPr>
        <w:t>（五）培育经营主体促进牧民增收。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培育家庭牧场、草畜联营合作社，推广合作放牧、职业代牧模式，规范引导草原适度规模流转；开展牧民技能培训，带动牧区富余劳动力转移就业，培育牧区新业态，拓宽牧民多元增收渠道。</w:t>
      </w:r>
    </w:p>
    <w:p w14:paraId="6AFA2B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jc w:val="left"/>
        <w:textAlignment w:val="auto"/>
        <w:rPr>
          <w:rFonts w:hint="default" w:ascii="方正楷体_GBK" w:hAnsi="方正楷体_GBK" w:eastAsia="方正楷体_GBK" w:cs="方正楷体_GBK"/>
          <w:spacing w:val="0"/>
          <w:sz w:val="32"/>
          <w:szCs w:val="32"/>
        </w:rPr>
      </w:pPr>
      <w:r>
        <w:rPr>
          <w:rFonts w:hint="default" w:ascii="方正楷体_GBK" w:hAnsi="方正楷体_GBK" w:eastAsia="方正楷体_GBK" w:cs="方正楷体_GBK"/>
          <w:spacing w:val="0"/>
          <w:sz w:val="32"/>
          <w:szCs w:val="32"/>
        </w:rPr>
        <w:t>三、县农业农村局</w:t>
      </w:r>
    </w:p>
    <w:p w14:paraId="53A525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3" w:firstLineChars="200"/>
        <w:jc w:val="left"/>
        <w:textAlignment w:val="auto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lang w:eastAsia="zh-CN"/>
        </w:rPr>
        <w:t>（一）统筹标准制定与台账管理。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会同林草、财政部门，严格按照自治区测算标准，制定本县草原补奖具体执行标准，确保县域标准不突破自治区上限；指导乡镇逐户建档立卡，完善牧户身份、草场面积、牲畜存栏、放牧数量、补助金额等台账资料。</w:t>
      </w:r>
    </w:p>
    <w:p w14:paraId="34EA6A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3" w:firstLineChars="200"/>
        <w:jc w:val="left"/>
        <w:textAlignment w:val="auto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lang w:eastAsia="zh-CN"/>
        </w:rPr>
        <w:t>（二）严格信息审核与系统管理。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每年4月底前指导乡镇完成逐户登记造册，5月底前牵头完成牧户身份、牲畜年末存栏、实际放牧数量、养殖经营主体资格等信息复核；负责草原补奖信息系统日常录入、校核、动态更新和常态化管理，确保基础数据精准可靠。</w:t>
      </w:r>
    </w:p>
    <w:p w14:paraId="25D330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3" w:firstLineChars="200"/>
        <w:jc w:val="left"/>
        <w:textAlignment w:val="auto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lang w:eastAsia="zh-CN"/>
        </w:rPr>
        <w:t>（三）推动畜牧业生产方式转型升级。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全面落实草原畜牧业提质增效任务，推广牛羊冷配改良、人工授精杂交、高效育肥技术，推行牛“一年一产”、羊“两年三产”错峰繁育模式；稳步提升牧区冷季舍饲比例，督促落实标准化饲草料储备标准，到2030年完成上级下达良种改良、羔羊育肥、冷季舍饲既定指标。</w:t>
      </w:r>
    </w:p>
    <w:p w14:paraId="2CBB0F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3" w:firstLineChars="200"/>
        <w:jc w:val="left"/>
        <w:textAlignment w:val="auto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lang w:eastAsia="zh-CN"/>
        </w:rPr>
        <w:t>（四）拓宽饲草料供给渠道。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统筹推进“粮改饲”、优质苜蓿种植、青贮玉米生产等项目，充分利用农区秸秆及农副产品资源发展饲草加工配套，多渠道增加优质饲草供给，有效缓解草畜矛盾。</w:t>
      </w:r>
    </w:p>
    <w:p w14:paraId="791069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3" w:firstLineChars="200"/>
        <w:jc w:val="left"/>
        <w:textAlignment w:val="auto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lang w:eastAsia="zh-CN"/>
        </w:rPr>
        <w:t>（五）推进规模经营与品牌增收。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指导培育家庭牧场、草畜联营合作社，推进智慧牧场建设和草原适度规模经营；健全绿色有机畜产品质量追溯体系，依托自治区公共品牌培育县域特色畜产品品牌，实现优质优价；常态化开展牧民技能培训，持续拓宽牧民增收渠道。</w:t>
      </w:r>
    </w:p>
    <w:p w14:paraId="72DB91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jc w:val="left"/>
        <w:textAlignment w:val="auto"/>
        <w:rPr>
          <w:rFonts w:hint="default" w:ascii="方正楷体_GBK" w:hAnsi="方正楷体_GBK" w:eastAsia="方正楷体_GBK" w:cs="方正楷体_GBK"/>
          <w:spacing w:val="0"/>
          <w:sz w:val="32"/>
          <w:szCs w:val="32"/>
        </w:rPr>
      </w:pPr>
      <w:r>
        <w:rPr>
          <w:rFonts w:hint="default" w:ascii="方正楷体_GBK" w:hAnsi="方正楷体_GBK" w:eastAsia="方正楷体_GBK" w:cs="方正楷体_GBK"/>
          <w:spacing w:val="0"/>
          <w:sz w:val="32"/>
          <w:szCs w:val="32"/>
        </w:rPr>
        <w:t>四、县林业和草原局</w:t>
      </w:r>
    </w:p>
    <w:p w14:paraId="5D8D87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3" w:firstLineChars="200"/>
        <w:jc w:val="left"/>
        <w:textAlignment w:val="auto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lang w:eastAsia="zh-CN"/>
        </w:rPr>
        <w:t>（一）科学划定动态管控区域。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依据年度草原生产力监测结果、载畜量标准，科学划定禁牧区、草畜平衡区、水源涵养区范围；广泛征求牧民意愿，常态化开展区域优化调整，对植被恢复达标、符合解禁条件的地块及时转为草畜平衡区，落实动态调整机制。</w:t>
      </w:r>
    </w:p>
    <w:p w14:paraId="33A151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3" w:firstLineChars="200"/>
        <w:jc w:val="left"/>
        <w:textAlignment w:val="auto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lang w:eastAsia="zh-CN"/>
        </w:rPr>
        <w:t>（二）压实基层管护责任。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指导乡镇逐户、逐场签订禁牧、草畜平衡责任书，精准核实确权草场面积，科学核定每户、每场合理载畜量及年度允许放牧牲畜数量。</w:t>
      </w:r>
    </w:p>
    <w:p w14:paraId="2044F2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3" w:firstLineChars="200"/>
        <w:jc w:val="left"/>
        <w:textAlignment w:val="auto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lang w:eastAsia="zh-CN"/>
        </w:rPr>
        <w:t>（三）强化草原监管与违规惩戒。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常态化开展草原放牧监督抽查，核查超载放牧、违规偷牧、破坏草原植被等行为；对违规主体及时抄送农业农村、财政部门，依规减发次年草原补奖资金，刚性约束禁牧和草畜平衡制度落实。</w:t>
      </w:r>
    </w:p>
    <w:p w14:paraId="0D8490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3" w:firstLineChars="200"/>
        <w:jc w:val="left"/>
        <w:textAlignment w:val="auto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lang w:eastAsia="zh-CN"/>
        </w:rPr>
        <w:t>（四）开展动态监测与超载预警。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每年开展全域草原生产力、植被盖度、产草量动态监测调查，结合农业农村部门牲畜存栏、放牧数据，及时发布草原超载预警信息；督促乡镇、经营主体通过减畜、牲畜分流、舍饲育肥等措施落实草畜平衡整改。</w:t>
      </w:r>
      <w:bookmarkStart w:id="1" w:name="_GoBack"/>
      <w:bookmarkEnd w:id="1"/>
    </w:p>
    <w:p w14:paraId="713E8F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3" w:firstLineChars="200"/>
        <w:jc w:val="left"/>
        <w:textAlignment w:val="auto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lang w:eastAsia="zh-CN"/>
        </w:rPr>
        <w:t>（五）实施生态修复与设施管护。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 xml:space="preserve">统筹推进天然草原补播改良、人工种草、退化草原治理，协同落实天然草原修复、“三北”工程、双重生态工程，持续提升草原植被盖度和产草量；负责草原禁牧标识、界桩、管护标牌布设、更新和日常维护。  </w:t>
      </w:r>
    </w:p>
    <w:p w14:paraId="4C7B58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jc w:val="left"/>
        <w:textAlignment w:val="auto"/>
        <w:rPr>
          <w:rFonts w:hint="default" w:ascii="方正楷体_GBK" w:hAnsi="方正楷体_GBK" w:eastAsia="方正楷体_GBK" w:cs="方正楷体_GBK"/>
          <w:spacing w:val="0"/>
          <w:sz w:val="32"/>
          <w:szCs w:val="32"/>
        </w:rPr>
      </w:pPr>
      <w:r>
        <w:rPr>
          <w:rFonts w:hint="default" w:ascii="方正楷体_GBK" w:hAnsi="方正楷体_GBK" w:eastAsia="方正楷体_GBK" w:cs="方正楷体_GBK"/>
          <w:spacing w:val="0"/>
          <w:sz w:val="32"/>
          <w:szCs w:val="32"/>
        </w:rPr>
        <w:t>五、县财政局</w:t>
      </w:r>
    </w:p>
    <w:p w14:paraId="57B3E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3" w:firstLineChars="200"/>
        <w:textAlignment w:val="auto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lang w:eastAsia="zh-CN"/>
        </w:rPr>
        <w:t>（一）精准测算审核资金。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严格按照自治区、县级核定补奖标准和确权草场面积，配合行业部门开展年度补奖资金测算、审核，从严把关资金额度，确保测算精准、合规无误。</w:t>
      </w:r>
    </w:p>
    <w:p w14:paraId="7EA7B4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3" w:firstLineChars="200"/>
        <w:textAlignment w:val="auto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lang w:eastAsia="zh-CN"/>
        </w:rPr>
        <w:t>（二）严格按时规范发放资金。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按照上级统一时限要求，每年6月底前通过惠民惠农“一卡通”系统足额直达发放补奖资金，转账统一备注对应政策名称，实行专款专用、全程闭环管理。</w:t>
      </w:r>
    </w:p>
    <w:p w14:paraId="6E7121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3" w:firstLineChars="200"/>
        <w:textAlignment w:val="auto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lang w:eastAsia="zh-CN"/>
        </w:rPr>
        <w:t>（三）规范特殊情形与结余资金管理。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严格按照自治区政策口径，依规做好公职人员草场、集体草场、国有场圃、企业承包草场等特殊情形资金审核发放管理；规范资金结余处置流程，结余资金按程序报县政府批复后，专项用于草原生态保护修复和草原畜牧业高质量发展。</w:t>
      </w:r>
    </w:p>
    <w:p w14:paraId="23F035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3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lang w:eastAsia="zh-CN"/>
        </w:rPr>
        <w:t>（四）强化资金监管与绩效管控。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rtl w:val="0"/>
          <w:lang w:val="en-US" w:eastAsia="zh-CN"/>
          <w14:textFill>
            <w14:solidFill>
              <w14:schemeClr w14:val="tx1"/>
            </w14:solidFill>
          </w14:textFill>
        </w:rPr>
        <w:t>全程负责补奖资金拨付、使用、监管，配合开展年度绩效评价、资金专项督查审计，严防截留、挪用、虚报冒领等问题，保障财政资金安全规范高效使用。</w:t>
      </w:r>
    </w:p>
    <w:p w14:paraId="67CA06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/>
        <w:jc w:val="center"/>
        <w:textAlignment w:val="auto"/>
        <w:rPr>
          <w:rFonts w:hint="default" w:ascii="方正黑体_GBK" w:hAnsi="方正黑体_GBK" w:eastAsia="方正黑体_GBK" w:cs="方正黑体_GBK"/>
          <w:spacing w:val="0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spacing w:val="0"/>
          <w:sz w:val="32"/>
          <w:szCs w:val="32"/>
        </w:rPr>
        <w:t>第</w:t>
      </w:r>
      <w:r>
        <w:rPr>
          <w:rFonts w:hint="eastAsia" w:ascii="方正黑体_GBK" w:hAnsi="方正黑体_GBK" w:eastAsia="方正黑体_GBK" w:cs="方正黑体_GBK"/>
          <w:spacing w:val="0"/>
          <w:sz w:val="32"/>
          <w:szCs w:val="32"/>
          <w:lang w:eastAsia="zh-CN"/>
        </w:rPr>
        <w:t>七</w:t>
      </w:r>
      <w:r>
        <w:rPr>
          <w:rFonts w:hint="default" w:ascii="方正黑体_GBK" w:hAnsi="方正黑体_GBK" w:eastAsia="方正黑体_GBK" w:cs="方正黑体_GBK"/>
          <w:spacing w:val="0"/>
          <w:sz w:val="32"/>
          <w:szCs w:val="32"/>
        </w:rPr>
        <w:t>章 保障措施</w:t>
      </w:r>
    </w:p>
    <w:p w14:paraId="54AA51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3" w:firstLineChars="200"/>
        <w:textAlignment w:val="auto"/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spacing w:val="0"/>
          <w:kern w:val="2"/>
          <w:sz w:val="33"/>
          <w:szCs w:val="33"/>
          <w:lang w:val="en-US" w:eastAsia="en-US" w:bidi="ar-SA"/>
        </w:rPr>
        <w:t>（一）加强组织领导。</w:t>
      </w: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建立第四轮草原补奖政策实施协调工作机制，研究解决政策实施过程中出现的新情况新问题；</w:t>
      </w:r>
      <w:r>
        <w:rPr>
          <w:rFonts w:hint="eastAsia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县</w:t>
      </w: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农业农村</w:t>
      </w:r>
      <w:r>
        <w:rPr>
          <w:rFonts w:hint="eastAsia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局</w:t>
      </w: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牵头，会同财政</w:t>
      </w:r>
      <w:r>
        <w:rPr>
          <w:rFonts w:hint="eastAsia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局</w:t>
      </w: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、县林业和草原局等部门按照职责分工抓好政策落实。建立县组织实施、乡镇具体落实的工作机制，有力有序推进草原补奖政策落实。</w:t>
      </w:r>
    </w:p>
    <w:p w14:paraId="31399F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63" w:firstLineChars="200"/>
        <w:textAlignment w:val="auto"/>
        <w:rPr>
          <w:rFonts w:hint="default" w:ascii="Times New Roman" w:hAnsi="Times New Roman" w:eastAsia="方正仿宋_GBK" w:cs="Times New Roman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pacing w:val="0"/>
          <w:kern w:val="2"/>
          <w:sz w:val="33"/>
          <w:szCs w:val="33"/>
          <w:lang w:val="en-US" w:eastAsia="zh-CN" w:bidi="ar-SA"/>
        </w:rPr>
        <w:t>（二）确保</w:t>
      </w:r>
      <w:r>
        <w:rPr>
          <w:rFonts w:hint="default" w:ascii="方正仿宋_GBK" w:hAnsi="方正仿宋_GBK" w:eastAsia="方正仿宋_GBK" w:cs="方正仿宋_GBK"/>
          <w:b/>
          <w:bCs/>
          <w:spacing w:val="0"/>
          <w:kern w:val="2"/>
          <w:sz w:val="33"/>
          <w:szCs w:val="33"/>
          <w:lang w:val="en-US" w:eastAsia="en-US" w:bidi="ar-SA"/>
        </w:rPr>
        <w:t>经费保障</w:t>
      </w:r>
      <w:r>
        <w:rPr>
          <w:rFonts w:hint="eastAsia" w:ascii="方正仿宋_GBK" w:hAnsi="方正仿宋_GBK" w:eastAsia="方正仿宋_GBK" w:cs="方正仿宋_GBK"/>
          <w:b/>
          <w:bCs/>
          <w:spacing w:val="0"/>
          <w:kern w:val="2"/>
          <w:sz w:val="33"/>
          <w:szCs w:val="33"/>
          <w:lang w:val="en-US" w:eastAsia="zh-CN" w:bidi="ar-SA"/>
        </w:rPr>
        <w:t>。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将基础勘测、信息录入、宣传培训、监测监管等工作经费足额纳入财政预算。</w:t>
      </w:r>
    </w:p>
    <w:p w14:paraId="6F71A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3" w:firstLineChars="200"/>
        <w:textAlignment w:val="auto"/>
        <w:rPr>
          <w:rFonts w:ascii="Times New Roman" w:hAnsi="Times New Roman"/>
          <w:color w:val="auto"/>
        </w:rPr>
      </w:pPr>
      <w:r>
        <w:rPr>
          <w:rFonts w:hint="eastAsia" w:ascii="方正仿宋_GBK" w:hAnsi="方正仿宋_GBK" w:eastAsia="方正仿宋_GBK" w:cs="方正仿宋_GBK"/>
          <w:b/>
          <w:bCs/>
          <w:spacing w:val="0"/>
          <w:kern w:val="2"/>
          <w:sz w:val="33"/>
          <w:szCs w:val="33"/>
          <w:lang w:val="en-US" w:eastAsia="en-US" w:bidi="ar-SA"/>
        </w:rPr>
        <w:t>（</w:t>
      </w:r>
      <w:r>
        <w:rPr>
          <w:rFonts w:hint="eastAsia" w:ascii="方正仿宋_GBK" w:hAnsi="方正仿宋_GBK" w:eastAsia="方正仿宋_GBK" w:cs="方正仿宋_GBK"/>
          <w:b/>
          <w:bCs/>
          <w:spacing w:val="0"/>
          <w:kern w:val="2"/>
          <w:sz w:val="33"/>
          <w:szCs w:val="33"/>
          <w:lang w:val="en-US" w:eastAsia="zh-CN" w:bidi="ar-SA"/>
        </w:rPr>
        <w:t>三</w:t>
      </w:r>
      <w:r>
        <w:rPr>
          <w:rFonts w:hint="eastAsia" w:ascii="方正仿宋_GBK" w:hAnsi="方正仿宋_GBK" w:eastAsia="方正仿宋_GBK" w:cs="方正仿宋_GBK"/>
          <w:b/>
          <w:bCs/>
          <w:spacing w:val="0"/>
          <w:kern w:val="2"/>
          <w:sz w:val="33"/>
          <w:szCs w:val="33"/>
          <w:lang w:val="en-US" w:eastAsia="en-US" w:bidi="ar-SA"/>
        </w:rPr>
        <w:t>）加强监督管理。</w:t>
      </w: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建立自查的监督检查机制，要充分调动发挥农牧民</w:t>
      </w:r>
      <w:r>
        <w:rPr>
          <w:rFonts w:hint="eastAsia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和国有农林牧渔场（企业）以及其他符合条件的主体</w:t>
      </w: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自我管理与相互监督的作用，确保草原禁牧、草畜平衡制度落实到位。</w:t>
      </w:r>
      <w:r>
        <w:rPr>
          <w:rFonts w:hint="eastAsia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林草局和农业农村局配合自然资源局</w:t>
      </w: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做好“十五五”承包草原到期延包、换发证与补奖资金发放衔接工作</w:t>
      </w:r>
      <w:r>
        <w:rPr>
          <w:rFonts w:hint="eastAsia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。</w:t>
      </w: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财政、农业农村（畜牧兽医）、林草（自然资源）部门要会同纪检监察、审计等部门，加强对政策任务和资金落实情况的监督检查，确保政策落实与草原生态保护、草食</w:t>
      </w:r>
      <w:r>
        <w:rPr>
          <w:rFonts w:hint="eastAsia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家</w:t>
      </w: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畜综合生产能力提升相衔接</w:t>
      </w:r>
      <w:r>
        <w:rPr>
          <w:rFonts w:hint="eastAsia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。每年</w:t>
      </w: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11月10日前完成</w:t>
      </w:r>
      <w:r>
        <w:rPr>
          <w:rFonts w:hint="eastAsia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县级</w:t>
      </w: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绩效评价工作</w:t>
      </w:r>
      <w:r>
        <w:rPr>
          <w:rFonts w:hint="eastAsia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，形成</w:t>
      </w:r>
      <w:bookmarkStart w:id="0" w:name="_Hlk231035647"/>
      <w:r>
        <w:rPr>
          <w:rFonts w:hint="eastAsia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政策实施工作总结</w:t>
      </w:r>
      <w:bookmarkEnd w:id="0"/>
      <w:r>
        <w:rPr>
          <w:rFonts w:hint="eastAsia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报送州农业农村局</w:t>
      </w: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。</w:t>
      </w:r>
    </w:p>
    <w:p w14:paraId="58D5338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804"/>
        <w:jc w:val="both"/>
        <w:textAlignment w:val="auto"/>
        <w:rPr>
          <w:rFonts w:hint="eastAsia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spacing w:val="0"/>
          <w:kern w:val="2"/>
          <w:sz w:val="33"/>
          <w:szCs w:val="33"/>
          <w:lang w:val="en-US" w:eastAsia="zh-CN" w:bidi="ar-SA"/>
        </w:rPr>
        <w:t>（四）</w:t>
      </w:r>
      <w:r>
        <w:rPr>
          <w:rFonts w:hint="default" w:ascii="方正仿宋_GBK" w:hAnsi="方正仿宋_GBK" w:eastAsia="方正仿宋_GBK" w:cs="方正仿宋_GBK"/>
          <w:b/>
          <w:bCs/>
          <w:spacing w:val="0"/>
          <w:kern w:val="2"/>
          <w:sz w:val="33"/>
          <w:szCs w:val="33"/>
          <w:lang w:val="en-US" w:eastAsia="en-US" w:bidi="ar-SA"/>
        </w:rPr>
        <w:t>加强政策宣传。</w:t>
      </w: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要做好草原补奖政策宣传工作，通过集中培训、村队升国旗大宣讲、媒体网络等多种方式，广泛宣传政策实施内容，</w:t>
      </w:r>
      <w:r>
        <w:rPr>
          <w:rFonts w:hint="eastAsia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做好政策调整解释工作，</w:t>
      </w: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明确政策受益农牧户（场）的权利、义务和责任，</w:t>
      </w:r>
      <w:r>
        <w:rPr>
          <w:rFonts w:hint="eastAsia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强化</w:t>
      </w: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天然草原“谁使用、谁保护、谁受益”的主体责任意识，</w:t>
      </w:r>
      <w:r>
        <w:rPr>
          <w:rFonts w:hint="eastAsia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妥善处置涉草原补奖政策相关群体上访事件，从源头预防和化解矛盾，</w:t>
      </w: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筑牢</w:t>
      </w:r>
      <w:r>
        <w:rPr>
          <w:rFonts w:hint="eastAsia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发展草原生态畜牧业的</w:t>
      </w: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群众基础</w:t>
      </w:r>
      <w:r>
        <w:rPr>
          <w:rFonts w:hint="eastAsia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确保农牧民在政策受益的同时履行好草原生态保护义务，</w:t>
      </w:r>
      <w:r>
        <w:rPr>
          <w:rFonts w:hint="eastAsia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积极促进草原畜牧业转型升级，实现生产生态、产量产能、增产增收协同推进</w:t>
      </w: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lang w:val="en-US" w:eastAsia="zh-CN" w:bidi="ar-SA"/>
        </w:rPr>
        <w:t>。</w:t>
      </w:r>
    </w:p>
    <w:p w14:paraId="7095EE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/>
        <w:jc w:val="center"/>
        <w:textAlignment w:val="auto"/>
        <w:rPr>
          <w:rFonts w:hint="default" w:ascii="方正黑体_GBK" w:hAnsi="方正黑体_GBK" w:eastAsia="方正黑体_GBK" w:cs="方正黑体_GBK"/>
          <w:spacing w:val="0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spacing w:val="0"/>
          <w:sz w:val="32"/>
          <w:szCs w:val="32"/>
        </w:rPr>
        <w:t>第九章 附则</w:t>
      </w:r>
    </w:p>
    <w:p w14:paraId="2DEBED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方正仿宋_GBK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1. 本方案由若羌县农业农村局、财政局、林业和草原局共同负责解释。</w:t>
      </w:r>
    </w:p>
    <w:p w14:paraId="399BC3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方正仿宋_GBK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2. 本方案自印发之日起施行，如遇国家、自治区政策调整，按最新规定执行。</w:t>
      </w:r>
    </w:p>
    <w:p w14:paraId="6EB505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/>
        <w:textAlignment w:val="auto"/>
        <w:rPr>
          <w:rFonts w:hint="default" w:ascii="Times New Roman" w:hAnsi="Times New Roman" w:eastAsia="方正仿宋_GBK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 xml:space="preserve"> </w:t>
      </w:r>
    </w:p>
    <w:p w14:paraId="1143E5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/>
        <w:textAlignment w:val="auto"/>
        <w:rPr>
          <w:rFonts w:hint="default" w:ascii="Times New Roman" w:hAnsi="Times New Roman" w:eastAsia="方正仿宋_GBK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 </w:t>
      </w:r>
    </w:p>
    <w:p w14:paraId="0AFFFC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/>
        <w:textAlignment w:val="auto"/>
        <w:rPr>
          <w:rFonts w:hint="default" w:ascii="Times New Roman" w:hAnsi="Times New Roman" w:eastAsia="方正仿宋_GBK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 xml:space="preserve"> </w:t>
      </w:r>
    </w:p>
    <w:p w14:paraId="29A84A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/>
        <w:textAlignment w:val="auto"/>
        <w:rPr>
          <w:rFonts w:hint="default" w:ascii="Times New Roman" w:hAnsi="Times New Roman" w:eastAsia="方正仿宋_GBK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 xml:space="preserve"> </w:t>
      </w:r>
    </w:p>
    <w:p w14:paraId="1975A4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/>
        <w:textAlignment w:val="auto"/>
        <w:rPr>
          <w:rFonts w:hint="default" w:ascii="Times New Roman" w:hAnsi="Times New Roman" w:eastAsia="方正仿宋_GBK" w:cs="Times New Roman"/>
          <w:spacing w:val="0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958D1E">
    <w:pPr>
      <w:spacing w:line="231" w:lineRule="auto"/>
      <w:jc w:val="right"/>
      <w:rPr>
        <w:rFonts w:ascii="宋体" w:hAnsi="宋体" w:eastAsia="宋体" w:cs="宋体"/>
        <w:sz w:val="22"/>
        <w:szCs w:val="22"/>
      </w:rPr>
    </w:pPr>
    <w:r>
      <w:rPr>
        <w:rFonts w:ascii="宋体" w:hAnsi="宋体" w:eastAsia="宋体" w:cs="宋体"/>
        <w:spacing w:val="-2"/>
        <w:sz w:val="22"/>
        <w:szCs w:val="22"/>
      </w:rPr>
      <w:t>—</w:t>
    </w:r>
    <w:r>
      <w:rPr>
        <w:rFonts w:hint="eastAsia" w:ascii="宋体" w:hAnsi="宋体" w:eastAsia="宋体" w:cs="宋体"/>
        <w:spacing w:val="-2"/>
        <w:sz w:val="22"/>
        <w:szCs w:val="22"/>
        <w:lang w:val="en-US" w:eastAsia="zh-CN"/>
      </w:rPr>
      <w:t>14</w:t>
    </w:r>
    <w:r>
      <w:rPr>
        <w:rFonts w:ascii="宋体" w:hAnsi="宋体" w:eastAsia="宋体" w:cs="宋体"/>
        <w:spacing w:val="-2"/>
        <w:sz w:val="22"/>
        <w:szCs w:val="22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FCE6D0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E99D1A"/>
    <w:multiLevelType w:val="singleLevel"/>
    <w:tmpl w:val="BFE99D1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451A4"/>
    <w:rsid w:val="03C06868"/>
    <w:rsid w:val="086F7B36"/>
    <w:rsid w:val="095378FB"/>
    <w:rsid w:val="0AA02617"/>
    <w:rsid w:val="0BCA5A03"/>
    <w:rsid w:val="0BD03F41"/>
    <w:rsid w:val="0D2F65A7"/>
    <w:rsid w:val="0F4C7BF2"/>
    <w:rsid w:val="145F62FF"/>
    <w:rsid w:val="1B227FD5"/>
    <w:rsid w:val="22FD41F6"/>
    <w:rsid w:val="2837711A"/>
    <w:rsid w:val="2A3E54C2"/>
    <w:rsid w:val="2BE958BD"/>
    <w:rsid w:val="323B7852"/>
    <w:rsid w:val="33546457"/>
    <w:rsid w:val="375A1269"/>
    <w:rsid w:val="39950D8A"/>
    <w:rsid w:val="3E432C02"/>
    <w:rsid w:val="410B3A0E"/>
    <w:rsid w:val="45A53AB9"/>
    <w:rsid w:val="4B31693E"/>
    <w:rsid w:val="4CCB580D"/>
    <w:rsid w:val="4EDB30C4"/>
    <w:rsid w:val="4F0D510B"/>
    <w:rsid w:val="4F770156"/>
    <w:rsid w:val="53C438F2"/>
    <w:rsid w:val="5C3C724A"/>
    <w:rsid w:val="62AC5C5C"/>
    <w:rsid w:val="62EA3F6C"/>
    <w:rsid w:val="64F60E45"/>
    <w:rsid w:val="6957004A"/>
    <w:rsid w:val="6AEB1D6B"/>
    <w:rsid w:val="6C42773A"/>
    <w:rsid w:val="71695F16"/>
    <w:rsid w:val="724F0D1A"/>
    <w:rsid w:val="7323671D"/>
    <w:rsid w:val="7372081D"/>
    <w:rsid w:val="7750222C"/>
    <w:rsid w:val="775645B6"/>
    <w:rsid w:val="7C2D424A"/>
    <w:rsid w:val="7D3C2050"/>
    <w:rsid w:val="7D935F5F"/>
    <w:rsid w:val="7EFB1850"/>
    <w:rsid w:val="7F4F46BA"/>
    <w:rsid w:val="7F86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paragraph" w:styleId="3">
    <w:name w:val="Body Text First Indent"/>
    <w:basedOn w:val="2"/>
    <w:next w:val="1"/>
    <w:unhideWhenUsed/>
    <w:qFormat/>
    <w:uiPriority w:val="99"/>
    <w:pPr>
      <w:ind w:firstLine="420" w:firstLineChars="100"/>
    </w:p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Quote"/>
    <w:basedOn w:val="1"/>
    <w:next w:val="1"/>
    <w:qFormat/>
    <w:uiPriority w:val="0"/>
    <w:pPr>
      <w:wordWrap w:val="0"/>
      <w:spacing w:before="200" w:after="160"/>
      <w:ind w:left="864" w:right="864"/>
      <w:jc w:val="center"/>
    </w:pPr>
    <w:rPr>
      <w:rFonts w:ascii="宋体" w:hAnsi="宋体" w:eastAsia="宋体"/>
      <w:i/>
      <w:sz w:val="21"/>
    </w:rPr>
  </w:style>
  <w:style w:type="paragraph" w:customStyle="1" w:styleId="9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4528</Words>
  <Characters>5013</Characters>
  <Lines>0</Lines>
  <Paragraphs>0</Paragraphs>
  <TotalTime>0</TotalTime>
  <ScaleCrop>false</ScaleCrop>
  <LinksUpToDate>false</LinksUpToDate>
  <CharactersWithSpaces>5041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2026-06-02T00:45:00Z</dcterms:created>
  <dc:creator>Administrator</dc:creator>
  <cp:lastModifiedBy>Я@лà</cp:lastModifiedBy>
  <dcterms:modified xsi:type="dcterms:W3CDTF">2026-08-19T03:13:33Z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eyJoZGlkIjoiZTdmM2FlYTExODExNWMwYjJmNzc0YjRhOTEzNWZjOWUiLCJ1c2VySWQiOiI1NjI5MzU5MDcifQ==</vt:lpwstr>
  </property>
  <property fmtid="{D5CDD505-2E9C-101B-9397-08002B2CF9AE}" pid="4" name="ICV">
    <vt:lpwstr>FB0B3BDCBCD446F5B9D28EDCD2E4E135_13</vt:lpwstr>
  </property>
</Properties>
</file>